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0A535" w14:textId="77777777" w:rsidR="002A7C40" w:rsidRPr="002D2A43" w:rsidRDefault="002A7C40" w:rsidP="00CF5457">
      <w:pPr>
        <w:spacing w:line="276" w:lineRule="auto"/>
        <w:jc w:val="center"/>
        <w:rPr>
          <w:b/>
          <w:bCs/>
          <w:u w:val="single"/>
        </w:rPr>
      </w:pPr>
      <w:bookmarkStart w:id="0" w:name="_Hlk177987366"/>
      <w:r w:rsidRPr="002A7C40">
        <w:rPr>
          <w:b/>
          <w:bCs/>
          <w:u w:val="single"/>
        </w:rPr>
        <w:t xml:space="preserve">PYTANIA I ODPOWIEDZI DOTYCZĄCE NABORU </w:t>
      </w:r>
    </w:p>
    <w:p w14:paraId="0E18F72F" w14:textId="3A1903B4" w:rsidR="002A7C40" w:rsidRPr="002A7C40" w:rsidRDefault="002A7C40" w:rsidP="00CF5457">
      <w:pPr>
        <w:spacing w:after="240" w:line="276" w:lineRule="auto"/>
        <w:jc w:val="center"/>
        <w:rPr>
          <w:b/>
          <w:bCs/>
          <w:u w:val="single"/>
        </w:rPr>
      </w:pPr>
      <w:r w:rsidRPr="002A7C40">
        <w:rPr>
          <w:b/>
          <w:bCs/>
          <w:u w:val="single"/>
        </w:rPr>
        <w:t>NUMER FESW.0</w:t>
      </w:r>
      <w:r w:rsidRPr="002D2A43">
        <w:rPr>
          <w:b/>
          <w:bCs/>
          <w:u w:val="single"/>
        </w:rPr>
        <w:t>2</w:t>
      </w:r>
      <w:r w:rsidRPr="002A7C40">
        <w:rPr>
          <w:b/>
          <w:bCs/>
          <w:u w:val="single"/>
        </w:rPr>
        <w:t>.0</w:t>
      </w:r>
      <w:r w:rsidR="00696951">
        <w:rPr>
          <w:b/>
          <w:bCs/>
          <w:u w:val="single"/>
        </w:rPr>
        <w:t>1</w:t>
      </w:r>
      <w:r w:rsidRPr="002A7C40">
        <w:rPr>
          <w:b/>
          <w:bCs/>
          <w:u w:val="single"/>
        </w:rPr>
        <w:t>-IZ.00-001/2</w:t>
      </w:r>
      <w:r w:rsidRPr="002D2A43">
        <w:rPr>
          <w:b/>
          <w:bCs/>
          <w:u w:val="single"/>
        </w:rPr>
        <w:t>4</w:t>
      </w:r>
      <w:r w:rsidRPr="002A7C40">
        <w:rPr>
          <w:b/>
          <w:bCs/>
          <w:u w:val="single"/>
        </w:rPr>
        <w:t xml:space="preserve"> </w:t>
      </w:r>
      <w:r w:rsidRPr="002A7C40">
        <w:rPr>
          <w:b/>
          <w:bCs/>
          <w:u w:val="single"/>
        </w:rPr>
        <w:br/>
        <w:t xml:space="preserve">DZIAŁANIE </w:t>
      </w:r>
      <w:r w:rsidR="00581C33">
        <w:rPr>
          <w:b/>
          <w:bCs/>
          <w:u w:val="single"/>
        </w:rPr>
        <w:t>2.</w:t>
      </w:r>
      <w:r w:rsidR="00696951">
        <w:rPr>
          <w:b/>
          <w:bCs/>
          <w:u w:val="single"/>
        </w:rPr>
        <w:t>1</w:t>
      </w:r>
      <w:r w:rsidRPr="002A7C40">
        <w:rPr>
          <w:b/>
          <w:bCs/>
          <w:u w:val="single"/>
        </w:rPr>
        <w:t xml:space="preserve"> FEŚ 2021-2027</w:t>
      </w:r>
    </w:p>
    <w:p w14:paraId="3025B0BB" w14:textId="78BB301A" w:rsidR="00CF1C01" w:rsidRPr="002D2A43" w:rsidRDefault="00CF1C01" w:rsidP="00CF5457">
      <w:pPr>
        <w:spacing w:after="120" w:line="276" w:lineRule="auto"/>
        <w:jc w:val="both"/>
        <w:rPr>
          <w:b/>
          <w:bCs/>
          <w:i/>
          <w:iCs/>
        </w:rPr>
      </w:pPr>
      <w:r w:rsidRPr="002D2A43">
        <w:rPr>
          <w:b/>
          <w:bCs/>
        </w:rPr>
        <w:t>Zgodnie z zapisami § 1</w:t>
      </w:r>
      <w:r w:rsidR="00696951">
        <w:rPr>
          <w:b/>
          <w:bCs/>
        </w:rPr>
        <w:t>8</w:t>
      </w:r>
      <w:r w:rsidRPr="002D2A43">
        <w:rPr>
          <w:b/>
          <w:bCs/>
        </w:rPr>
        <w:t xml:space="preserve"> pkt. 1</w:t>
      </w:r>
      <w:r w:rsidR="00696951">
        <w:rPr>
          <w:b/>
          <w:bCs/>
        </w:rPr>
        <w:t>8</w:t>
      </w:r>
      <w:r w:rsidRPr="002D2A43">
        <w:rPr>
          <w:b/>
          <w:bCs/>
        </w:rPr>
        <w:t>.1 Regulaminu wyboru projektów dla naboru FESW.02.0</w:t>
      </w:r>
      <w:r w:rsidR="00696951">
        <w:rPr>
          <w:b/>
          <w:bCs/>
        </w:rPr>
        <w:t>1</w:t>
      </w:r>
      <w:r w:rsidRPr="002D2A43">
        <w:rPr>
          <w:b/>
          <w:bCs/>
        </w:rPr>
        <w:t>-IZ.00-001/24 „</w:t>
      </w:r>
      <w:r w:rsidRPr="002D2A43">
        <w:rPr>
          <w:b/>
          <w:bCs/>
          <w:i/>
          <w:iCs/>
        </w:rPr>
        <w:t xml:space="preserve">zadawane pytania </w:t>
      </w:r>
      <w:r w:rsidRPr="002D2A43">
        <w:rPr>
          <w:b/>
          <w:bCs/>
          <w:i/>
          <w:iCs/>
          <w:u w:val="single"/>
        </w:rPr>
        <w:t>nie mogą dotyczyć</w:t>
      </w:r>
      <w:r w:rsidRPr="002D2A43">
        <w:rPr>
          <w:b/>
          <w:bCs/>
          <w:i/>
          <w:iCs/>
        </w:rPr>
        <w:t xml:space="preserve"> kwestii rozstrzygających </w:t>
      </w:r>
      <w:r w:rsidRPr="002D2A43">
        <w:rPr>
          <w:b/>
          <w:bCs/>
          <w:i/>
          <w:iCs/>
        </w:rPr>
        <w:br/>
        <w:t xml:space="preserve">w zakresie oceny wniosku i jej wyniku oraz konkretnych zapisów czy rozwiązań zastosowanych w danym projekcie, celem ich wstępnej oceny. Ocena pod kątem spełniania kryteriów wyboru projektów należy do ustawowej kompetencji KOP i może być dokonywana wyłącznie przez nią i wyłącznie na tym etapie. Odpowiedź na zadawane pytania udzielona przez IZ FEŚ nie jest równoznaczna z wynikiem oceny wniosku i nie może stanowić podstawy do roszczeń w stosunku do KOP, co do późniejszych rozstrzygnięć dokonywanych na etapie oceny i wyboru projektów do dofinansowania w oparciu o pełną złożoną dokumentację aplikacyjną konkretnego projektu.” </w:t>
      </w:r>
    </w:p>
    <w:p w14:paraId="30F9D385" w14:textId="3431124B" w:rsidR="00CF1C01" w:rsidRPr="002D2A43" w:rsidRDefault="00CF1C01" w:rsidP="00CF5457">
      <w:pPr>
        <w:spacing w:line="276" w:lineRule="auto"/>
        <w:jc w:val="both"/>
        <w:rPr>
          <w:b/>
          <w:bCs/>
        </w:rPr>
      </w:pPr>
      <w:r w:rsidRPr="002D2A43">
        <w:rPr>
          <w:b/>
          <w:bCs/>
        </w:rPr>
        <w:t xml:space="preserve">Nie jest możliwe podejmowanie wiążących stanowisk w oparciu o niekompletne informacje dotyczące planowanego projektu. Jego ocena wymaga bowiem kompleksowej analizy pełnej dokumentacji aplikacyjnej z uwzględnieniem wszelkich okoliczności </w:t>
      </w:r>
      <w:r w:rsidRPr="002D2A43">
        <w:rPr>
          <w:b/>
          <w:bCs/>
        </w:rPr>
        <w:br/>
        <w:t xml:space="preserve">i szczegółów planowanego zakresu.   </w:t>
      </w:r>
    </w:p>
    <w:p w14:paraId="786415CA" w14:textId="77777777" w:rsidR="00CF1C01" w:rsidRPr="002D2A43" w:rsidRDefault="00CF1C01" w:rsidP="00CF5457">
      <w:pPr>
        <w:spacing w:line="276" w:lineRule="auto"/>
        <w:jc w:val="both"/>
        <w:rPr>
          <w:b/>
          <w:bCs/>
        </w:rPr>
      </w:pPr>
    </w:p>
    <w:p w14:paraId="3D9A1AE0" w14:textId="37FF9DD2" w:rsidR="00CF1C01" w:rsidRPr="007A05CD" w:rsidRDefault="00570E05" w:rsidP="00CF5457">
      <w:pPr>
        <w:spacing w:after="160" w:line="276" w:lineRule="auto"/>
        <w:jc w:val="both"/>
        <w:rPr>
          <w:b/>
          <w:bCs/>
          <w:u w:val="single"/>
        </w:rPr>
      </w:pPr>
      <w:r>
        <w:rPr>
          <w:b/>
          <w:bCs/>
          <w:highlight w:val="green"/>
          <w:u w:val="single"/>
        </w:rPr>
        <w:t>17</w:t>
      </w:r>
      <w:r w:rsidR="00696951" w:rsidRPr="002777F5">
        <w:rPr>
          <w:b/>
          <w:bCs/>
          <w:highlight w:val="green"/>
          <w:u w:val="single"/>
        </w:rPr>
        <w:t>.10</w:t>
      </w:r>
      <w:r w:rsidR="00CF1C01" w:rsidRPr="002777F5">
        <w:rPr>
          <w:b/>
          <w:bCs/>
          <w:highlight w:val="green"/>
          <w:u w:val="single"/>
        </w:rPr>
        <w:t>.2024:</w:t>
      </w:r>
    </w:p>
    <w:bookmarkEnd w:id="0"/>
    <w:p w14:paraId="0FD540DA" w14:textId="30703596" w:rsidR="00570E05" w:rsidRDefault="00CF1C01" w:rsidP="00570E05">
      <w:pPr>
        <w:spacing w:after="160" w:line="276" w:lineRule="auto"/>
        <w:jc w:val="both"/>
        <w:rPr>
          <w:i/>
          <w:iCs/>
        </w:rPr>
      </w:pPr>
      <w:r w:rsidRPr="00DA2018">
        <w:rPr>
          <w:i/>
          <w:iCs/>
          <w:u w:val="single"/>
        </w:rPr>
        <w:t>Pytanie</w:t>
      </w:r>
      <w:r w:rsidR="007A05CD" w:rsidRPr="00DA2018">
        <w:rPr>
          <w:i/>
          <w:iCs/>
          <w:u w:val="single"/>
        </w:rPr>
        <w:t xml:space="preserve"> 1</w:t>
      </w:r>
      <w:r w:rsidR="00ED1FCF">
        <w:rPr>
          <w:i/>
          <w:iCs/>
        </w:rPr>
        <w:t>:</w:t>
      </w:r>
      <w:r w:rsidR="007A05CD" w:rsidRPr="007A05CD">
        <w:rPr>
          <w:i/>
          <w:iCs/>
        </w:rPr>
        <w:t xml:space="preserve"> </w:t>
      </w:r>
      <w:r w:rsidR="00570E05" w:rsidRPr="00570E05">
        <w:rPr>
          <w:i/>
          <w:iCs/>
        </w:rPr>
        <w:t>Dzień dobry,</w:t>
      </w:r>
      <w:r w:rsidR="00570E05">
        <w:rPr>
          <w:i/>
          <w:iCs/>
        </w:rPr>
        <w:t xml:space="preserve"> </w:t>
      </w:r>
      <w:r w:rsidR="00570E05" w:rsidRPr="00570E05">
        <w:rPr>
          <w:i/>
          <w:iCs/>
        </w:rPr>
        <w:t>zgodnie z regulaminem naboru:</w:t>
      </w:r>
      <w:r w:rsidR="00570E05">
        <w:rPr>
          <w:i/>
          <w:iCs/>
        </w:rPr>
        <w:t xml:space="preserve"> </w:t>
      </w:r>
      <w:r w:rsidR="00570E05" w:rsidRPr="00570E05">
        <w:rPr>
          <w:i/>
          <w:iCs/>
        </w:rPr>
        <w:t>"3.17 Nie dopuszcza się:</w:t>
      </w:r>
      <w:r w:rsidR="00570E05">
        <w:rPr>
          <w:i/>
          <w:iCs/>
        </w:rPr>
        <w:t xml:space="preserve"> </w:t>
      </w:r>
      <w:r w:rsidR="00570E05" w:rsidRPr="00570E05">
        <w:rPr>
          <w:i/>
          <w:iCs/>
        </w:rPr>
        <w:t xml:space="preserve">− wspierania inwestycji wykorzystujących paliwa kopalne od roku 2025, w związku z zapisami art. 17, ust. 15 Dyrektywy Parlamentu Europejskiego i Rady (UE) 2024/1275 w sprawie charakterystyki energetycznej budynków. W związku z powyższym, w przypadku inwestycji w urządzenia grzewcze, z uwagi na wynikający z dyrektywy, zakaz dotyczy dofinansowania instalacji kotłów na wszelkie paliwa kopalne, czyli m.in. </w:t>
      </w:r>
      <w:r w:rsidR="00570E05" w:rsidRPr="00570E05">
        <w:rPr>
          <w:i/>
          <w:iCs/>
          <w:u w:val="single"/>
        </w:rPr>
        <w:t>kotłów takich jak gazowe</w:t>
      </w:r>
      <w:r w:rsidR="00570E05" w:rsidRPr="00570E05">
        <w:rPr>
          <w:i/>
          <w:iCs/>
        </w:rPr>
        <w:t xml:space="preserve"> czy węglowe, ale także tych</w:t>
      </w:r>
      <w:r w:rsidR="00570E05">
        <w:rPr>
          <w:i/>
          <w:iCs/>
        </w:rPr>
        <w:t xml:space="preserve"> </w:t>
      </w:r>
      <w:r w:rsidR="00570E05" w:rsidRPr="00570E05">
        <w:rPr>
          <w:i/>
          <w:iCs/>
        </w:rPr>
        <w:t xml:space="preserve">na olej opałowy i </w:t>
      </w:r>
      <w:proofErr w:type="spellStart"/>
      <w:r w:rsidR="00570E05" w:rsidRPr="00570E05">
        <w:rPr>
          <w:i/>
          <w:iCs/>
        </w:rPr>
        <w:t>ekogroszek</w:t>
      </w:r>
      <w:proofErr w:type="spellEnd"/>
      <w:r w:rsidR="00570E05" w:rsidRPr="00570E05">
        <w:rPr>
          <w:i/>
          <w:iCs/>
        </w:rPr>
        <w:t>;"</w:t>
      </w:r>
    </w:p>
    <w:p w14:paraId="66452600" w14:textId="6E6EEC68" w:rsidR="00570E05" w:rsidRDefault="00570E05" w:rsidP="00570E05">
      <w:pPr>
        <w:spacing w:after="160" w:line="276" w:lineRule="auto"/>
        <w:jc w:val="both"/>
        <w:rPr>
          <w:i/>
          <w:iCs/>
        </w:rPr>
      </w:pPr>
      <w:r w:rsidRPr="00570E05">
        <w:rPr>
          <w:i/>
          <w:iCs/>
        </w:rPr>
        <w:t>"7.9 Kosztami niekwalifikowalnymi są m.in.:</w:t>
      </w:r>
      <w:r>
        <w:rPr>
          <w:i/>
          <w:iCs/>
        </w:rPr>
        <w:t xml:space="preserve"> </w:t>
      </w:r>
      <w:r w:rsidRPr="00570E05">
        <w:rPr>
          <w:i/>
          <w:iCs/>
        </w:rPr>
        <w:t xml:space="preserve">n) Zakup i montaż </w:t>
      </w:r>
      <w:r w:rsidRPr="00570E05">
        <w:rPr>
          <w:i/>
          <w:iCs/>
          <w:u w:val="single"/>
        </w:rPr>
        <w:t>kotłów gazowych</w:t>
      </w:r>
      <w:r w:rsidRPr="00570E05">
        <w:rPr>
          <w:i/>
          <w:iCs/>
        </w:rPr>
        <w:t>, węglowych,</w:t>
      </w:r>
      <w:r>
        <w:rPr>
          <w:i/>
          <w:iCs/>
        </w:rPr>
        <w:t xml:space="preserve"> </w:t>
      </w:r>
      <w:r w:rsidRPr="00570E05">
        <w:rPr>
          <w:i/>
          <w:iCs/>
        </w:rPr>
        <w:t xml:space="preserve">na </w:t>
      </w:r>
      <w:proofErr w:type="spellStart"/>
      <w:r w:rsidRPr="00570E05">
        <w:rPr>
          <w:i/>
          <w:iCs/>
        </w:rPr>
        <w:t>ekogroszek</w:t>
      </w:r>
      <w:proofErr w:type="spellEnd"/>
      <w:r w:rsidRPr="00570E05">
        <w:rPr>
          <w:i/>
          <w:iCs/>
        </w:rPr>
        <w:t xml:space="preserve"> i olejowych,"</w:t>
      </w:r>
    </w:p>
    <w:p w14:paraId="67F94B03" w14:textId="5BC4933B" w:rsidR="00570E05" w:rsidRDefault="00570E05" w:rsidP="00570E05">
      <w:pPr>
        <w:spacing w:after="160" w:line="276" w:lineRule="auto"/>
        <w:jc w:val="both"/>
        <w:rPr>
          <w:i/>
          <w:iCs/>
        </w:rPr>
      </w:pPr>
      <w:r w:rsidRPr="00570E05">
        <w:rPr>
          <w:i/>
          <w:iCs/>
        </w:rPr>
        <w:t xml:space="preserve">Zgodnie z zapisami art. 17, ust. 15 Dyrektywy Parlamentu Europejskiego i Rady (UE) 2024/1275 z dnia 24 kwietnia 2024 r. w sprawie charakterystyki energetycznej budynków: </w:t>
      </w:r>
      <w:r>
        <w:rPr>
          <w:i/>
          <w:iCs/>
        </w:rPr>
        <w:br/>
      </w:r>
      <w:r w:rsidRPr="00570E05">
        <w:rPr>
          <w:i/>
          <w:iCs/>
        </w:rPr>
        <w:t xml:space="preserve">"15. Od dnia 1 stycznia 2025 r. państwa członkowskie nie udzielają żadnych zachęt finansowych do instalacji indywidualnych kotłów zasilanych paliwami kopalnymi, </w:t>
      </w:r>
      <w:r w:rsidRPr="00570E05">
        <w:rPr>
          <w:i/>
          <w:iCs/>
          <w:u w:val="single"/>
        </w:rPr>
        <w:t>z wyjątkiem</w:t>
      </w:r>
      <w:r w:rsidRPr="00570E05">
        <w:rPr>
          <w:i/>
          <w:iCs/>
        </w:rPr>
        <w:t xml:space="preserve"> kotłów wybranych do inwestycji przed 2025 r., zgodnie z rozporządzeniem (UE) 2021/241, </w:t>
      </w:r>
      <w:r w:rsidRPr="00570E05">
        <w:rPr>
          <w:i/>
          <w:iCs/>
          <w:u w:val="single"/>
        </w:rPr>
        <w:t xml:space="preserve">art. 7 ust. 1 lit. h) pkt (i) </w:t>
      </w:r>
      <w:proofErr w:type="spellStart"/>
      <w:r w:rsidRPr="00570E05">
        <w:rPr>
          <w:i/>
          <w:iCs/>
          <w:u w:val="single"/>
        </w:rPr>
        <w:t>tiret</w:t>
      </w:r>
      <w:proofErr w:type="spellEnd"/>
      <w:r w:rsidRPr="00570E05">
        <w:rPr>
          <w:i/>
          <w:iCs/>
          <w:u w:val="single"/>
        </w:rPr>
        <w:t xml:space="preserve"> trzecie</w:t>
      </w:r>
      <w:r w:rsidRPr="00570E05">
        <w:rPr>
          <w:i/>
          <w:iCs/>
        </w:rPr>
        <w:t xml:space="preserve"> rozporządzenia (UE) 2021/1058 oraz art. 73 rozporządzenia Parlamentu Europejskiego i Rady (UE) 2021/2115".</w:t>
      </w:r>
    </w:p>
    <w:p w14:paraId="295C2C58" w14:textId="6A64C895" w:rsidR="00570E05" w:rsidRDefault="00570E05" w:rsidP="00570E05">
      <w:pPr>
        <w:spacing w:after="160" w:line="276" w:lineRule="auto"/>
        <w:jc w:val="both"/>
        <w:rPr>
          <w:i/>
          <w:iCs/>
        </w:rPr>
      </w:pPr>
      <w:r w:rsidRPr="00570E05">
        <w:rPr>
          <w:i/>
          <w:iCs/>
        </w:rPr>
        <w:t xml:space="preserve">Zgodnie z art. 7 ust. 1 lit. h) pkt (i) </w:t>
      </w:r>
      <w:proofErr w:type="spellStart"/>
      <w:r w:rsidRPr="00570E05">
        <w:rPr>
          <w:i/>
          <w:iCs/>
        </w:rPr>
        <w:t>tiret</w:t>
      </w:r>
      <w:proofErr w:type="spellEnd"/>
      <w:r w:rsidRPr="00570E05">
        <w:rPr>
          <w:i/>
          <w:iCs/>
        </w:rPr>
        <w:t xml:space="preserve"> trzecie rozporządzenia (UE) 2021/1058 wsparcia </w:t>
      </w:r>
      <w:r>
        <w:rPr>
          <w:i/>
          <w:iCs/>
        </w:rPr>
        <w:br/>
      </w:r>
      <w:r w:rsidRPr="00570E05">
        <w:rPr>
          <w:i/>
          <w:iCs/>
        </w:rPr>
        <w:t xml:space="preserve">z EFRR i Funduszu Spójności nie udziela się na inwestycje w zakresie produkcji, przetwarzania, transportu, dystrybucji, magazynowania lub spalania paliw kopalnych, </w:t>
      </w:r>
      <w:r w:rsidRPr="00570E05">
        <w:rPr>
          <w:i/>
          <w:iCs/>
          <w:u w:val="single"/>
        </w:rPr>
        <w:t>z wyjątkiem</w:t>
      </w:r>
      <w:r w:rsidRPr="00570E05">
        <w:rPr>
          <w:i/>
          <w:iCs/>
        </w:rPr>
        <w:t xml:space="preserve"> wymiany systemów ciepłowniczych zasilanych stałymi paliwami kopalnymi, tj. węglem kamiennym, torfem, węglem brunatnym, łupkami bitumicznymi, </w:t>
      </w:r>
      <w:r w:rsidRPr="00570E05">
        <w:rPr>
          <w:i/>
          <w:iCs/>
          <w:u w:val="single"/>
        </w:rPr>
        <w:t>na systemy grzewcze zasilane gazem ziemnym</w:t>
      </w:r>
      <w:r w:rsidRPr="00570E05">
        <w:rPr>
          <w:i/>
          <w:iCs/>
        </w:rPr>
        <w:t xml:space="preserve"> w celu:</w:t>
      </w:r>
    </w:p>
    <w:p w14:paraId="5207A9A8" w14:textId="376FDDC3" w:rsidR="00570E05" w:rsidRDefault="00570E05" w:rsidP="00570E05">
      <w:pPr>
        <w:spacing w:after="160" w:line="276" w:lineRule="auto"/>
        <w:jc w:val="both"/>
        <w:rPr>
          <w:i/>
          <w:iCs/>
        </w:rPr>
      </w:pPr>
      <w:r w:rsidRPr="00570E05">
        <w:rPr>
          <w:i/>
          <w:iCs/>
        </w:rPr>
        <w:lastRenderedPageBreak/>
        <w:t xml:space="preserve">- inwestycji w wymianę instalacji zasilanych węglem kamiennym, torfem, węglem brunatnym lub łupkami bitumicznymi, na kotły i systemy ciepłownicze zasilane gazem ziemnym </w:t>
      </w:r>
      <w:r>
        <w:rPr>
          <w:i/>
          <w:iCs/>
        </w:rPr>
        <w:br/>
      </w:r>
      <w:r w:rsidRPr="00570E05">
        <w:rPr>
          <w:i/>
          <w:iCs/>
          <w:u w:val="single"/>
        </w:rPr>
        <w:t>w budynkach mieszkalnych i niemieszkalnych</w:t>
      </w:r>
      <w:r w:rsidRPr="00570E05">
        <w:rPr>
          <w:i/>
          <w:iCs/>
        </w:rPr>
        <w:t>.</w:t>
      </w:r>
    </w:p>
    <w:p w14:paraId="78B91093" w14:textId="77777777" w:rsidR="00570E05" w:rsidRDefault="00570E05" w:rsidP="00570E05">
      <w:pPr>
        <w:spacing w:after="160" w:line="276" w:lineRule="auto"/>
        <w:jc w:val="both"/>
        <w:rPr>
          <w:i/>
          <w:iCs/>
        </w:rPr>
      </w:pPr>
      <w:r w:rsidRPr="00570E05">
        <w:rPr>
          <w:i/>
          <w:iCs/>
        </w:rPr>
        <w:t xml:space="preserve">W tym samym artykule, w ustępie 4 wskazano, iż takie inwestycje mogę być wybierane do dofinansowania </w:t>
      </w:r>
      <w:r w:rsidRPr="00570E05">
        <w:rPr>
          <w:i/>
          <w:iCs/>
          <w:u w:val="single"/>
        </w:rPr>
        <w:t>do dnia 31 grudnia 2025 roku.</w:t>
      </w:r>
    </w:p>
    <w:p w14:paraId="0BDD88D9" w14:textId="599B4F51" w:rsidR="00570E05" w:rsidRDefault="00570E05" w:rsidP="00570E05">
      <w:pPr>
        <w:spacing w:after="160" w:line="276" w:lineRule="auto"/>
        <w:jc w:val="both"/>
        <w:rPr>
          <w:i/>
          <w:iCs/>
        </w:rPr>
      </w:pPr>
      <w:r w:rsidRPr="00570E05">
        <w:rPr>
          <w:i/>
          <w:iCs/>
        </w:rPr>
        <w:t xml:space="preserve">Zatem inwestycje dotyczące wymiany instalacji zasilanych paliwami kopalnymi na kotły </w:t>
      </w:r>
      <w:r>
        <w:rPr>
          <w:i/>
          <w:iCs/>
        </w:rPr>
        <w:br/>
      </w:r>
      <w:r w:rsidRPr="00570E05">
        <w:rPr>
          <w:i/>
          <w:iCs/>
        </w:rPr>
        <w:t xml:space="preserve">i systemy zasilane gazem ziemnym w budynkach mieszkalnych i niemieszkalnych, mogą zostać wybrane do dofinansowania do dnia 31 grudnia 2025 roku. </w:t>
      </w:r>
    </w:p>
    <w:p w14:paraId="65EFD21B" w14:textId="6E6AA234" w:rsidR="00570E05" w:rsidRPr="00570E05" w:rsidRDefault="00570E05" w:rsidP="00570E05">
      <w:pPr>
        <w:spacing w:after="160" w:line="276" w:lineRule="auto"/>
        <w:jc w:val="both"/>
        <w:rPr>
          <w:i/>
          <w:iCs/>
        </w:rPr>
      </w:pPr>
      <w:r w:rsidRPr="00570E05">
        <w:rPr>
          <w:b/>
          <w:bCs/>
          <w:i/>
          <w:iCs/>
        </w:rPr>
        <w:t>W związku z powyższym, czy koszty dotyczące ww. inwestycji (kotły gazowe) będą uznane za kwalifikowalne dla wszystkich projektów, które zostały wybrane do dofinansowania do końca 2025 roku?</w:t>
      </w:r>
    </w:p>
    <w:p w14:paraId="4E2C87BD" w14:textId="3B710697" w:rsidR="00CF1C01" w:rsidRDefault="00CF1C01" w:rsidP="00CF5457">
      <w:pPr>
        <w:spacing w:after="160" w:line="276" w:lineRule="auto"/>
        <w:jc w:val="both"/>
        <w:rPr>
          <w:u w:val="single"/>
        </w:rPr>
      </w:pPr>
      <w:r w:rsidRPr="006937F9">
        <w:rPr>
          <w:u w:val="single"/>
        </w:rPr>
        <w:t>Odpowiedź:</w:t>
      </w:r>
    </w:p>
    <w:p w14:paraId="19321573" w14:textId="0C2B4252" w:rsidR="00C76593" w:rsidRDefault="0049327E" w:rsidP="00FA0A6E">
      <w:pPr>
        <w:spacing w:line="276" w:lineRule="auto"/>
        <w:jc w:val="both"/>
      </w:pPr>
      <w:r>
        <w:t xml:space="preserve">Zgodnie z zapisami </w:t>
      </w:r>
      <w:r w:rsidRPr="00C76593">
        <w:rPr>
          <w:i/>
          <w:iCs/>
        </w:rPr>
        <w:t>Regulaminu</w:t>
      </w:r>
      <w:r>
        <w:rPr>
          <w:i/>
          <w:iCs/>
        </w:rPr>
        <w:t xml:space="preserve"> wyboru projektów</w:t>
      </w:r>
      <w:r>
        <w:t xml:space="preserve"> (punkt 3.17)</w:t>
      </w:r>
      <w:r w:rsidR="00103E6C">
        <w:t xml:space="preserve"> cyt.</w:t>
      </w:r>
      <w:r>
        <w:t xml:space="preserve"> </w:t>
      </w:r>
      <w:r w:rsidR="00103E6C">
        <w:t>„</w:t>
      </w:r>
      <w:r w:rsidRPr="00103E6C">
        <w:rPr>
          <w:i/>
          <w:iCs/>
        </w:rPr>
        <w:t xml:space="preserve">nie dopuszcza się wspierania inwestycji wykorzystujących paliwa kopalne od roku 2025, w związku z zapisami art. 17, ust. 15 Dyrektywy Parlamentu Europejskiego i Rady (UE) 2024/1275 w sprawie charakterystyki energetycznej budynków. W związku z powyższym, w przypadku inwestycji </w:t>
      </w:r>
      <w:r w:rsidR="00103E6C">
        <w:rPr>
          <w:i/>
          <w:iCs/>
        </w:rPr>
        <w:br/>
      </w:r>
      <w:r w:rsidRPr="00103E6C">
        <w:rPr>
          <w:i/>
          <w:iCs/>
        </w:rPr>
        <w:t xml:space="preserve">w urządzenia grzewcze, z uwagi na wynikający z dyrektywy, zakaz dotyczy dofinasowania instalacji kotłów na wszelkie paliwa kopalne, czyli m.in. kotłów takich jak gazowe czy węglowe, ale także tych na olej opałowy i </w:t>
      </w:r>
      <w:proofErr w:type="spellStart"/>
      <w:r w:rsidRPr="00103E6C">
        <w:rPr>
          <w:i/>
          <w:iCs/>
        </w:rPr>
        <w:t>ekogrosze</w:t>
      </w:r>
      <w:r w:rsidR="00103E6C">
        <w:rPr>
          <w:i/>
          <w:iCs/>
        </w:rPr>
        <w:t>k</w:t>
      </w:r>
      <w:proofErr w:type="spellEnd"/>
      <w:r w:rsidR="00103E6C">
        <w:rPr>
          <w:i/>
          <w:iCs/>
        </w:rPr>
        <w:t>”.</w:t>
      </w:r>
      <w:r w:rsidRPr="00103E6C">
        <w:rPr>
          <w:i/>
          <w:iCs/>
        </w:rPr>
        <w:t xml:space="preserve"> </w:t>
      </w:r>
    </w:p>
    <w:p w14:paraId="2EB2B3E2" w14:textId="2835D8DA" w:rsidR="001E0B66" w:rsidRDefault="00103E6C" w:rsidP="00FA0A6E">
      <w:pPr>
        <w:spacing w:line="276" w:lineRule="auto"/>
        <w:jc w:val="both"/>
      </w:pPr>
      <w:r>
        <w:t xml:space="preserve">Dodatkowo w </w:t>
      </w:r>
      <w:r w:rsidRPr="00103E6C">
        <w:t>punkc</w:t>
      </w:r>
      <w:r>
        <w:t>ie</w:t>
      </w:r>
      <w:r w:rsidRPr="00103E6C">
        <w:t xml:space="preserve"> 7.9 lit. n) </w:t>
      </w:r>
      <w:r w:rsidR="0049327E">
        <w:t xml:space="preserve">ww. </w:t>
      </w:r>
      <w:r w:rsidR="0049327E">
        <w:rPr>
          <w:i/>
          <w:iCs/>
        </w:rPr>
        <w:t xml:space="preserve">Regulaminu </w:t>
      </w:r>
      <w:r w:rsidRPr="00257289">
        <w:t>wskazano,</w:t>
      </w:r>
      <w:r>
        <w:rPr>
          <w:i/>
          <w:iCs/>
        </w:rPr>
        <w:t xml:space="preserve"> iż </w:t>
      </w:r>
      <w:r w:rsidR="00C76593">
        <w:t>koszty zakupu i montażu kotłów gazowych</w:t>
      </w:r>
      <w:r w:rsidR="00257289">
        <w:t xml:space="preserve">, </w:t>
      </w:r>
      <w:r w:rsidR="00257289" w:rsidRPr="00257289">
        <w:t xml:space="preserve">węglowych, na </w:t>
      </w:r>
      <w:proofErr w:type="spellStart"/>
      <w:r w:rsidR="00257289" w:rsidRPr="00257289">
        <w:t>ekogroszek</w:t>
      </w:r>
      <w:proofErr w:type="spellEnd"/>
      <w:r w:rsidR="00257289" w:rsidRPr="00257289">
        <w:t xml:space="preserve"> i olejowych,</w:t>
      </w:r>
      <w:r w:rsidR="00257289">
        <w:t xml:space="preserve"> </w:t>
      </w:r>
      <w:r w:rsidR="001E0B66">
        <w:t xml:space="preserve">stanowią wydatki </w:t>
      </w:r>
      <w:r w:rsidR="00C76593">
        <w:t>niekwalifikowaln</w:t>
      </w:r>
      <w:r w:rsidR="001E0B66">
        <w:t>e</w:t>
      </w:r>
      <w:r w:rsidR="00C06552">
        <w:t>.</w:t>
      </w:r>
    </w:p>
    <w:p w14:paraId="0BD9F1D8" w14:textId="77777777" w:rsidR="001B6E06" w:rsidRDefault="001B6E06" w:rsidP="00FA0A6E">
      <w:pPr>
        <w:spacing w:line="276" w:lineRule="auto"/>
        <w:jc w:val="both"/>
      </w:pPr>
    </w:p>
    <w:p w14:paraId="6F410938" w14:textId="561ABAE9" w:rsidR="001B6E06" w:rsidRPr="00187B0E" w:rsidRDefault="001B6E06" w:rsidP="001B6E06">
      <w:pPr>
        <w:spacing w:after="160" w:line="259" w:lineRule="auto"/>
        <w:jc w:val="both"/>
        <w:rPr>
          <w:kern w:val="2"/>
          <w:u w:val="single"/>
          <w14:ligatures w14:val="standardContextual"/>
        </w:rPr>
      </w:pPr>
      <w:r w:rsidRPr="00CB43AB">
        <w:rPr>
          <w:kern w:val="2"/>
          <w:u w:val="single"/>
          <w14:ligatures w14:val="standardContextual"/>
        </w:rPr>
        <w:t>Pytanie</w:t>
      </w:r>
      <w:r w:rsidR="00257289" w:rsidRPr="00CB43AB">
        <w:rPr>
          <w:kern w:val="2"/>
          <w:u w:val="single"/>
          <w14:ligatures w14:val="standardContextual"/>
        </w:rPr>
        <w:t xml:space="preserve"> 2</w:t>
      </w:r>
      <w:r w:rsidRPr="00CB43AB">
        <w:rPr>
          <w:kern w:val="2"/>
          <w:u w:val="single"/>
          <w14:ligatures w14:val="standardContextual"/>
        </w:rPr>
        <w:t>:</w:t>
      </w:r>
      <w:r w:rsidR="00187B0E" w:rsidRPr="00E51447">
        <w:rPr>
          <w:kern w:val="2"/>
          <w14:ligatures w14:val="standardContextual"/>
        </w:rPr>
        <w:t xml:space="preserve"> </w:t>
      </w:r>
      <w:r w:rsidRPr="00CB43AB">
        <w:rPr>
          <w:i/>
          <w:iCs/>
          <w:kern w:val="2"/>
          <w14:ligatures w14:val="standardContextual"/>
        </w:rPr>
        <w:t>dot. wskaźnika produktu WLWK-RCO019 Budynki publiczne o udoskonalonej charakterystyce energetycznej.</w:t>
      </w:r>
    </w:p>
    <w:p w14:paraId="2D0B99E3" w14:textId="77777777" w:rsidR="001B6E06" w:rsidRPr="00CB43AB" w:rsidRDefault="001B6E06" w:rsidP="001B6E06">
      <w:pPr>
        <w:spacing w:after="160" w:line="259" w:lineRule="auto"/>
        <w:jc w:val="both"/>
        <w:rPr>
          <w:i/>
          <w:iCs/>
          <w:kern w:val="2"/>
          <w14:ligatures w14:val="standardContextual"/>
        </w:rPr>
      </w:pPr>
      <w:r w:rsidRPr="00CB43AB">
        <w:rPr>
          <w:i/>
          <w:iCs/>
          <w:kern w:val="2"/>
          <w14:ligatures w14:val="standardContextual"/>
        </w:rPr>
        <w:t>Zgodnie z definicją wskaźnika przez lepszą (udoskonaloną) charakterystykę energetyczną należy rozumieć jako poprawę klasyfikacji energetycznej budynku publicznego o co najmniej jedną klasę energetyczną. Czy do wyliczenia dot. zapotrzebowania na nieodnawialną energię pierwotną EP, kWh/(m2∙rok) potwierdzającego zmianę klasy energetycznej budynku należy wykorzystać projekt rozporządzenia zmieniającego metodologię wyznaczania charakterystyki energetycznej budynków?</w:t>
      </w:r>
    </w:p>
    <w:p w14:paraId="311B6CB6" w14:textId="77777777" w:rsidR="001B6E06" w:rsidRDefault="001B6E06" w:rsidP="001B6E06">
      <w:pPr>
        <w:spacing w:after="160" w:line="259" w:lineRule="auto"/>
        <w:rPr>
          <w:i/>
          <w:iCs/>
          <w:kern w:val="2"/>
          <w14:ligatures w14:val="standardContextual"/>
        </w:rPr>
      </w:pPr>
      <w:r w:rsidRPr="00CB43AB">
        <w:rPr>
          <w:i/>
          <w:iCs/>
          <w:kern w:val="2"/>
          <w14:ligatures w14:val="standardContextual"/>
        </w:rPr>
        <w:t>Inwestycja Wnioskodawcy obejmuje 3 budynki użyteczności publicznej, każdy budynek wykazuje redukcję zapotrzebowania na energię pierwotną powyżej 30%.</w:t>
      </w:r>
      <w:r w:rsidRPr="00CB43AB">
        <w:rPr>
          <w:i/>
          <w:iCs/>
          <w:kern w:val="2"/>
          <w14:ligatures w14:val="standardContextual"/>
        </w:rPr>
        <w:br/>
        <w:t>Budynek 1 w wariancie "przed" jak i "po" termo ma klasę energetyczną A.</w:t>
      </w:r>
      <w:r w:rsidRPr="00CB43AB">
        <w:rPr>
          <w:i/>
          <w:iCs/>
          <w:kern w:val="2"/>
          <w14:ligatures w14:val="standardContextual"/>
        </w:rPr>
        <w:br/>
        <w:t>Budynek 2 w wariancie "przed" jak i "po" termo ma klasę energetyczną G.</w:t>
      </w:r>
      <w:r w:rsidRPr="00CB43AB">
        <w:rPr>
          <w:i/>
          <w:iCs/>
          <w:kern w:val="2"/>
          <w14:ligatures w14:val="standardContextual"/>
        </w:rPr>
        <w:br/>
        <w:t>Budynek 3 w wariancie "przed" termo ma klasę energetyczną G zaś "po" termo ma klasę energetyczną B.</w:t>
      </w:r>
      <w:r w:rsidRPr="00CB43AB">
        <w:rPr>
          <w:i/>
          <w:iCs/>
          <w:kern w:val="2"/>
          <w14:ligatures w14:val="standardContextual"/>
        </w:rPr>
        <w:br/>
        <w:t>a) Czy wówczas wartość wskaźnika w m2 "Budynki publiczne o udoskonalonej charakterystyce energetycznej"  należy podać tylko dla budynku nr 3, a budynek 1 i 2 nie wlicza się do tego wskaźnika (z uwagi na brak zmiany klasy energetycznej)?</w:t>
      </w:r>
      <w:r w:rsidRPr="00CB43AB">
        <w:rPr>
          <w:i/>
          <w:iCs/>
          <w:kern w:val="2"/>
          <w14:ligatures w14:val="standardContextual"/>
        </w:rPr>
        <w:br/>
        <w:t xml:space="preserve">b) Czy brak zmiany klasy energetycznej budynku dyskwalifikuje budynek z dofinansowania? </w:t>
      </w:r>
    </w:p>
    <w:p w14:paraId="2E588ACC" w14:textId="77777777" w:rsidR="00187B0E" w:rsidRPr="00CB43AB" w:rsidRDefault="00187B0E" w:rsidP="001B6E06">
      <w:pPr>
        <w:spacing w:after="160" w:line="259" w:lineRule="auto"/>
        <w:rPr>
          <w:i/>
          <w:iCs/>
          <w:kern w:val="2"/>
          <w14:ligatures w14:val="standardContextual"/>
        </w:rPr>
      </w:pPr>
    </w:p>
    <w:p w14:paraId="4CD9DA48" w14:textId="77777777" w:rsidR="001B6E06" w:rsidRPr="00CB43AB" w:rsidRDefault="001B6E06" w:rsidP="001B6E06">
      <w:pPr>
        <w:spacing w:after="160" w:line="259" w:lineRule="auto"/>
        <w:jc w:val="both"/>
        <w:rPr>
          <w:kern w:val="2"/>
          <w:u w:val="single"/>
          <w14:ligatures w14:val="standardContextual"/>
        </w:rPr>
      </w:pPr>
      <w:r w:rsidRPr="00CB43AB">
        <w:rPr>
          <w:kern w:val="2"/>
          <w:u w:val="single"/>
          <w14:ligatures w14:val="standardContextual"/>
        </w:rPr>
        <w:lastRenderedPageBreak/>
        <w:t>Odpowiedź:</w:t>
      </w:r>
    </w:p>
    <w:p w14:paraId="53269F2C" w14:textId="03B04398" w:rsidR="00CB43AB" w:rsidRPr="00CB43AB" w:rsidRDefault="00257289" w:rsidP="00187B0E">
      <w:pPr>
        <w:autoSpaceDE w:val="0"/>
        <w:autoSpaceDN w:val="0"/>
        <w:adjustRightInd w:val="0"/>
        <w:spacing w:line="240" w:lineRule="auto"/>
        <w:jc w:val="both"/>
        <w:rPr>
          <w:i/>
          <w:iCs/>
          <w:kern w:val="2"/>
          <w14:ligatures w14:val="standardContextual"/>
        </w:rPr>
      </w:pPr>
      <w:r w:rsidRPr="00CB43AB">
        <w:rPr>
          <w:kern w:val="2"/>
          <w14:ligatures w14:val="standardContextual"/>
        </w:rPr>
        <w:t>Definicja wskaźnika</w:t>
      </w:r>
      <w:r w:rsidR="00B35192">
        <w:rPr>
          <w:b/>
          <w:bCs/>
          <w:kern w:val="2"/>
          <w14:ligatures w14:val="standardContextual"/>
        </w:rPr>
        <w:t xml:space="preserve"> </w:t>
      </w:r>
      <w:r w:rsidR="00B35192" w:rsidRPr="00B35192">
        <w:rPr>
          <w:b/>
          <w:bCs/>
          <w:kern w:val="2"/>
          <w14:ligatures w14:val="standardContextual"/>
        </w:rPr>
        <w:t>RCO019</w:t>
      </w:r>
      <w:r w:rsidR="00B35192">
        <w:rPr>
          <w:b/>
          <w:bCs/>
          <w:kern w:val="2"/>
          <w14:ligatures w14:val="standardContextual"/>
        </w:rPr>
        <w:t xml:space="preserve"> </w:t>
      </w:r>
      <w:r w:rsidR="00CB43AB" w:rsidRPr="00CB43AB">
        <w:rPr>
          <w:b/>
          <w:bCs/>
          <w:kern w:val="2"/>
          <w14:ligatures w14:val="standardContextual"/>
        </w:rPr>
        <w:t xml:space="preserve">pn. </w:t>
      </w:r>
      <w:r w:rsidR="001B6E06" w:rsidRPr="00CB43AB">
        <w:rPr>
          <w:b/>
          <w:bCs/>
          <w:kern w:val="2"/>
          <w14:ligatures w14:val="standardContextual"/>
        </w:rPr>
        <w:t xml:space="preserve">Budynki publiczne o udoskonalonej charakterystyce </w:t>
      </w:r>
      <w:r w:rsidRPr="00CB43AB">
        <w:rPr>
          <w:b/>
          <w:bCs/>
          <w:kern w:val="2"/>
          <w14:ligatures w14:val="standardContextual"/>
        </w:rPr>
        <w:t>energetycznej[m</w:t>
      </w:r>
      <w:r w:rsidR="001B6E06" w:rsidRPr="00CB43AB">
        <w:rPr>
          <w:b/>
          <w:bCs/>
          <w:kern w:val="2"/>
          <w14:ligatures w14:val="standardContextual"/>
        </w:rPr>
        <w:t>2]</w:t>
      </w:r>
      <w:r w:rsidR="001B6E06" w:rsidRPr="00CB43AB">
        <w:rPr>
          <w:kern w:val="2"/>
          <w14:ligatures w14:val="standardContextual"/>
        </w:rPr>
        <w:t xml:space="preserve"> </w:t>
      </w:r>
      <w:r w:rsidR="00CB43AB" w:rsidRPr="00CB43AB">
        <w:rPr>
          <w:kern w:val="2"/>
          <w14:ligatures w14:val="standardContextual"/>
        </w:rPr>
        <w:t xml:space="preserve">- </w:t>
      </w:r>
      <w:r w:rsidR="00CB43AB" w:rsidRPr="00CB43AB">
        <w:rPr>
          <w:i/>
          <w:iCs/>
          <w:kern w:val="2"/>
          <w14:ligatures w14:val="standardContextual"/>
        </w:rPr>
        <w:t xml:space="preserve">Powierzchnia netto budynków publicznych, które osiągają lepszą charakterystykę energetyczną dzięki otrzymanemu wsparciu. Udoskonaloną charakterystykę energetyczną należy rozumieć jako poprawę klasyfikacji energetycznej budynku publicznego </w:t>
      </w:r>
      <w:r w:rsidR="00187B0E">
        <w:rPr>
          <w:i/>
          <w:iCs/>
          <w:kern w:val="2"/>
          <w14:ligatures w14:val="standardContextual"/>
        </w:rPr>
        <w:br/>
      </w:r>
      <w:r w:rsidR="00CB43AB" w:rsidRPr="00CB43AB">
        <w:rPr>
          <w:i/>
          <w:iCs/>
          <w:kern w:val="2"/>
          <w14:ligatures w14:val="standardContextual"/>
        </w:rPr>
        <w:t xml:space="preserve">o co najmniej jedną klasę energetyczną i należy ją udokumentować na podstawie świadectw charakterystyki energetycznej. Klasyfikacja energetyczna, o której mowa, jest zgodna </w:t>
      </w:r>
      <w:r w:rsidR="00187B0E">
        <w:rPr>
          <w:i/>
          <w:iCs/>
          <w:kern w:val="2"/>
          <w14:ligatures w14:val="standardContextual"/>
        </w:rPr>
        <w:br/>
      </w:r>
      <w:r w:rsidR="00CB43AB" w:rsidRPr="00CB43AB">
        <w:rPr>
          <w:i/>
          <w:iCs/>
          <w:kern w:val="2"/>
          <w14:ligatures w14:val="standardContextual"/>
        </w:rPr>
        <w:t xml:space="preserve">z definicją zawartą w krajowym świadectwie charakterystyki energetycznej, zgodnie </w:t>
      </w:r>
      <w:r w:rsidR="00187B0E">
        <w:rPr>
          <w:i/>
          <w:iCs/>
          <w:kern w:val="2"/>
          <w14:ligatures w14:val="standardContextual"/>
        </w:rPr>
        <w:br/>
      </w:r>
      <w:r w:rsidR="00CB43AB" w:rsidRPr="00CB43AB">
        <w:rPr>
          <w:i/>
          <w:iCs/>
          <w:kern w:val="2"/>
          <w14:ligatures w14:val="standardContextual"/>
        </w:rPr>
        <w:t>z dyrektywą 2010/31/UE.   Budynki publiczne definiuje się jako budynki będące własnością instytucji publicznych i budynki będące własnością organizacji non-profit. Organizacja non-profit to osoba prawna zorganizowana i działająca dla zbiorowego, publicznego lub społecznego pożytku, w przeciwieństwie do podmiotu prowadzącego działalność gospodarczą, której celem jest generowanie zysku dla jego właścicieli. Przykłady obejmują budynki administracji publicznej, szkoły, szpitale itp.   Wskaźnik nie obejmuje: - lokali socjalnych (ponieważ są uwzględniane w RCO18),</w:t>
      </w:r>
      <w:r w:rsidR="00CB43AB">
        <w:rPr>
          <w:i/>
          <w:iCs/>
          <w:kern w:val="2"/>
          <w14:ligatures w14:val="standardContextual"/>
        </w:rPr>
        <w:t xml:space="preserve"> </w:t>
      </w:r>
      <w:r w:rsidR="00CB43AB" w:rsidRPr="00CB43AB">
        <w:rPr>
          <w:i/>
          <w:iCs/>
          <w:kern w:val="2"/>
          <w14:ligatures w14:val="standardContextual"/>
        </w:rPr>
        <w:t>- szkół prywatnych lub szpitali prywatnych będących własnością inwestorów prywatnych.    Wsparcie dla takich podmiotów prywatnych należy zgłaszać jako wsparcie dla przedsiębiorstw wykorzystując RCO01 itp.</w:t>
      </w:r>
    </w:p>
    <w:p w14:paraId="5C97CAE8" w14:textId="199090E1" w:rsidR="001B6E06" w:rsidRPr="00B35192" w:rsidRDefault="001B6E06" w:rsidP="001B6E06">
      <w:pPr>
        <w:spacing w:after="160" w:line="259" w:lineRule="auto"/>
        <w:jc w:val="both"/>
        <w:rPr>
          <w:kern w:val="2"/>
          <w14:ligatures w14:val="standardContextual"/>
        </w:rPr>
      </w:pPr>
      <w:r w:rsidRPr="00B35192">
        <w:rPr>
          <w:kern w:val="2"/>
          <w14:ligatures w14:val="standardContextual"/>
        </w:rPr>
        <w:t xml:space="preserve">Do wyznaczenia wartości granicznych dla klas energetycznych wskaźnika EP </w:t>
      </w:r>
      <w:r w:rsidR="00B35192" w:rsidRPr="00B35192">
        <w:rPr>
          <w:kern w:val="2"/>
          <w14:ligatures w14:val="standardContextual"/>
        </w:rPr>
        <w:t xml:space="preserve">można </w:t>
      </w:r>
      <w:r w:rsidR="00257289" w:rsidRPr="00B35192">
        <w:rPr>
          <w:kern w:val="2"/>
          <w14:ligatures w14:val="standardContextual"/>
        </w:rPr>
        <w:t>wykorzystać projekt</w:t>
      </w:r>
      <w:r w:rsidRPr="00B35192">
        <w:rPr>
          <w:kern w:val="2"/>
          <w14:ligatures w14:val="standardContextual"/>
        </w:rPr>
        <w:t xml:space="preserve"> rozporządzenia </w:t>
      </w:r>
      <w:r w:rsidRPr="00B35192">
        <w:rPr>
          <w:i/>
          <w:iCs/>
          <w:kern w:val="2"/>
          <w14:ligatures w14:val="standardContextual"/>
        </w:rPr>
        <w:t xml:space="preserve">w sprawie metodologii wyznaczania charakterystyki energetycznej budynku lub części budynku oraz sporządzania świadectw charakterystyki energetycznej. </w:t>
      </w:r>
      <w:r w:rsidRPr="00B35192">
        <w:rPr>
          <w:kern w:val="2"/>
          <w14:ligatures w14:val="standardContextual"/>
        </w:rPr>
        <w:t xml:space="preserve">Dane zawarte w w/w rozporządzeniu zostały opracowane na podstawie ekspertyzy Krajowej Agencji Poszanowania Energii S.A. pn. </w:t>
      </w:r>
      <w:r w:rsidRPr="00B35192">
        <w:rPr>
          <w:i/>
          <w:iCs/>
          <w:kern w:val="2"/>
          <w14:ligatures w14:val="standardContextual"/>
        </w:rPr>
        <w:t xml:space="preserve">Zmiana regulacji w zakresie wyznaczenia charakterystyki energetycznej budynku lub części budynku oraz świadectw charakterystyki energetycznej. </w:t>
      </w:r>
      <w:r w:rsidRPr="00B35192">
        <w:rPr>
          <w:kern w:val="2"/>
          <w14:ligatures w14:val="standardContextual"/>
        </w:rPr>
        <w:t xml:space="preserve">Ostateczny podział </w:t>
      </w:r>
      <w:r w:rsidR="00CB43AB" w:rsidRPr="00B35192">
        <w:rPr>
          <w:kern w:val="2"/>
          <w14:ligatures w14:val="standardContextual"/>
        </w:rPr>
        <w:t>klas energetycznych</w:t>
      </w:r>
      <w:r w:rsidRPr="00B35192">
        <w:rPr>
          <w:kern w:val="2"/>
          <w14:ligatures w14:val="standardContextual"/>
        </w:rPr>
        <w:t xml:space="preserve"> zostanie określony po zakończeniu prac nad projektem rozporządzenia Ministra Rozwoju i Technologii </w:t>
      </w:r>
      <w:r w:rsidRPr="00B35192">
        <w:rPr>
          <w:i/>
          <w:iCs/>
          <w:kern w:val="2"/>
          <w14:ligatures w14:val="standardContextual"/>
        </w:rPr>
        <w:t>w sprawie metodologii wyznaczania charakterystyki energetycznej budynku lub części budynku oraz sporządzania świadectw charakterystyki energetycznej</w:t>
      </w:r>
      <w:r w:rsidRPr="00B35192">
        <w:rPr>
          <w:kern w:val="2"/>
          <w14:ligatures w14:val="standardContextual"/>
        </w:rPr>
        <w:t>. Dokumentacja dotycząca projektu rozporządzenia dostępna jest pod adresem internetowym:</w:t>
      </w:r>
    </w:p>
    <w:p w14:paraId="464FFC73" w14:textId="77777777" w:rsidR="001B6E06" w:rsidRPr="00B35192" w:rsidRDefault="001B6E06" w:rsidP="001B6E06">
      <w:pPr>
        <w:spacing w:line="276" w:lineRule="auto"/>
        <w:jc w:val="both"/>
        <w:rPr>
          <w:kern w:val="2"/>
          <w14:ligatures w14:val="standardContextual"/>
        </w:rPr>
      </w:pPr>
      <w:hyperlink r:id="rId7" w:history="1">
        <w:r w:rsidRPr="00B35192">
          <w:rPr>
            <w:color w:val="0563C1" w:themeColor="hyperlink"/>
            <w:kern w:val="2"/>
            <w:u w:val="single"/>
            <w14:ligatures w14:val="standardContextual"/>
          </w:rPr>
          <w:t>https://www.gov.pl/web/rozwoj-technologia/Prekonsultacje-zmian-regulacji-w-zakresie-wyznaczania-charakterystyki-energetycznej-budynku-lub-czesci-budynku-oraz-wzorow-swiadectw-charakterystyki-energetycznej</w:t>
        </w:r>
      </w:hyperlink>
    </w:p>
    <w:p w14:paraId="05949D46" w14:textId="77777777" w:rsidR="001B6E06" w:rsidRPr="00B35192" w:rsidRDefault="001B6E06" w:rsidP="001B6E06">
      <w:pPr>
        <w:spacing w:line="276" w:lineRule="auto"/>
        <w:jc w:val="both"/>
        <w:rPr>
          <w:kern w:val="2"/>
          <w14:ligatures w14:val="standardContextual"/>
        </w:rPr>
      </w:pPr>
    </w:p>
    <w:p w14:paraId="31624393" w14:textId="77777777" w:rsidR="001B6E06" w:rsidRPr="00B35192" w:rsidRDefault="001B6E06" w:rsidP="001B6E06">
      <w:pPr>
        <w:spacing w:line="276" w:lineRule="auto"/>
        <w:jc w:val="both"/>
        <w:rPr>
          <w:kern w:val="2"/>
          <w14:ligatures w14:val="standardContextual"/>
        </w:rPr>
      </w:pPr>
      <w:r w:rsidRPr="00B35192">
        <w:rPr>
          <w:kern w:val="2"/>
          <w14:ligatures w14:val="standardContextual"/>
        </w:rPr>
        <w:t xml:space="preserve">W momencie wejścia w życie rozporządzenia Ministra Rozwoju i Technologii </w:t>
      </w:r>
      <w:r w:rsidRPr="00B35192">
        <w:rPr>
          <w:i/>
          <w:iCs/>
          <w:kern w:val="2"/>
          <w14:ligatures w14:val="standardContextual"/>
        </w:rPr>
        <w:t>w sprawie metodologii wyznaczania charakterystyki energetycznej budynku lub części budynku oraz sporządzania świadectw charakterystyki energetycznej</w:t>
      </w:r>
      <w:r w:rsidRPr="00B35192">
        <w:rPr>
          <w:kern w:val="2"/>
          <w14:ligatures w14:val="standardContextual"/>
        </w:rPr>
        <w:t>, ustalanie wartości granicznych dla klas energetycznych wskaźnika EP będzie się opierać o przedmiotowe rozporządzenie.</w:t>
      </w:r>
    </w:p>
    <w:p w14:paraId="21C71A46" w14:textId="0A645B22" w:rsidR="001B6E06" w:rsidRPr="00B35192" w:rsidRDefault="001B6E06" w:rsidP="001B6E06">
      <w:pPr>
        <w:spacing w:line="276" w:lineRule="auto"/>
        <w:jc w:val="both"/>
        <w:rPr>
          <w:kern w:val="2"/>
          <w14:ligatures w14:val="standardContextual"/>
        </w:rPr>
      </w:pPr>
      <w:r w:rsidRPr="00B35192">
        <w:rPr>
          <w:kern w:val="2"/>
          <w14:ligatures w14:val="standardContextual"/>
        </w:rPr>
        <w:t>Osiągniecie zadeklarowanej we wniosku o dofinansowanie wartości docelowej wskaźnika produktu</w:t>
      </w:r>
      <w:r w:rsidR="00B35192">
        <w:rPr>
          <w:kern w:val="2"/>
          <w14:ligatures w14:val="standardContextual"/>
        </w:rPr>
        <w:t xml:space="preserve"> </w:t>
      </w:r>
      <w:r w:rsidRPr="00B35192">
        <w:rPr>
          <w:kern w:val="2"/>
          <w14:ligatures w14:val="standardContextual"/>
        </w:rPr>
        <w:t xml:space="preserve">RCO019 będzie </w:t>
      </w:r>
      <w:r w:rsidR="00B35192" w:rsidRPr="00B35192">
        <w:rPr>
          <w:kern w:val="2"/>
          <w14:ligatures w14:val="standardContextual"/>
        </w:rPr>
        <w:t>weryfikowane na</w:t>
      </w:r>
      <w:r w:rsidRPr="00B35192">
        <w:rPr>
          <w:kern w:val="2"/>
          <w14:ligatures w14:val="standardContextual"/>
        </w:rPr>
        <w:t xml:space="preserve"> podstawie świadectwa charakterystyki energetycznej budynku przed i po realizacji projektu. </w:t>
      </w:r>
    </w:p>
    <w:p w14:paraId="6E47A7EC" w14:textId="77777777" w:rsidR="001B6E06" w:rsidRPr="00B35192" w:rsidRDefault="001B6E06" w:rsidP="001B6E06">
      <w:pPr>
        <w:spacing w:after="160" w:line="259" w:lineRule="auto"/>
        <w:jc w:val="both"/>
        <w:rPr>
          <w:kern w:val="2"/>
          <w14:ligatures w14:val="standardContextual"/>
        </w:rPr>
      </w:pPr>
      <w:r w:rsidRPr="00B35192">
        <w:rPr>
          <w:kern w:val="2"/>
          <w14:ligatures w14:val="standardContextual"/>
        </w:rPr>
        <w:t>We wskazanym przykładzie:</w:t>
      </w:r>
    </w:p>
    <w:p w14:paraId="4E02074A" w14:textId="2D57DA25" w:rsidR="001B6E06" w:rsidRPr="00B35192" w:rsidRDefault="001B6E06" w:rsidP="001B6E06">
      <w:pPr>
        <w:numPr>
          <w:ilvl w:val="0"/>
          <w:numId w:val="8"/>
        </w:numPr>
        <w:spacing w:after="160" w:line="259" w:lineRule="auto"/>
        <w:contextualSpacing/>
        <w:jc w:val="both"/>
        <w:rPr>
          <w:kern w:val="2"/>
          <w14:ligatures w14:val="standardContextual"/>
        </w:rPr>
      </w:pPr>
      <w:r w:rsidRPr="00B35192">
        <w:rPr>
          <w:kern w:val="2"/>
          <w14:ligatures w14:val="standardContextual"/>
        </w:rPr>
        <w:t xml:space="preserve">Wartość wskaźnika należy podać dla budynku </w:t>
      </w:r>
      <w:r w:rsidR="00B35192">
        <w:rPr>
          <w:kern w:val="2"/>
          <w14:ligatures w14:val="standardContextual"/>
        </w:rPr>
        <w:t>nr 3;</w:t>
      </w:r>
      <w:r w:rsidRPr="00B35192">
        <w:rPr>
          <w:kern w:val="2"/>
          <w14:ligatures w14:val="standardContextual"/>
        </w:rPr>
        <w:t xml:space="preserve"> </w:t>
      </w:r>
    </w:p>
    <w:p w14:paraId="3EDE73C8" w14:textId="125CB860" w:rsidR="001B6E06" w:rsidRPr="00B35192" w:rsidRDefault="001B6E06" w:rsidP="001B6E06">
      <w:pPr>
        <w:numPr>
          <w:ilvl w:val="0"/>
          <w:numId w:val="8"/>
        </w:numPr>
        <w:spacing w:after="160" w:line="259" w:lineRule="auto"/>
        <w:contextualSpacing/>
        <w:jc w:val="both"/>
        <w:rPr>
          <w:kern w:val="2"/>
          <w14:ligatures w14:val="standardContextual"/>
        </w:rPr>
      </w:pPr>
      <w:r w:rsidRPr="00B35192">
        <w:rPr>
          <w:kern w:val="2"/>
          <w14:ligatures w14:val="standardContextual"/>
        </w:rPr>
        <w:t xml:space="preserve">Zmiana klasy energetycznej nie jest warunkiem dopuszczającym budynek do dofinansowania. Kluczowa jest oszczędność energii </w:t>
      </w:r>
      <w:r w:rsidR="00B35192">
        <w:rPr>
          <w:kern w:val="2"/>
          <w14:ligatures w14:val="standardContextual"/>
        </w:rPr>
        <w:t xml:space="preserve">pierwotnej o </w:t>
      </w:r>
      <w:r w:rsidRPr="00B35192">
        <w:rPr>
          <w:kern w:val="2"/>
          <w14:ligatures w14:val="standardContextual"/>
        </w:rPr>
        <w:t>co najmniej 30 %.</w:t>
      </w:r>
    </w:p>
    <w:p w14:paraId="6EDB4D9D" w14:textId="77777777" w:rsidR="003740AB" w:rsidRDefault="003740AB" w:rsidP="003740AB">
      <w:pPr>
        <w:spacing w:after="160" w:line="276" w:lineRule="auto"/>
        <w:jc w:val="both"/>
        <w:rPr>
          <w:b/>
          <w:bCs/>
          <w:highlight w:val="green"/>
          <w:u w:val="single"/>
        </w:rPr>
      </w:pPr>
    </w:p>
    <w:p w14:paraId="45319B27" w14:textId="77777777" w:rsidR="003740AB" w:rsidRDefault="003740AB" w:rsidP="003740AB">
      <w:pPr>
        <w:spacing w:after="160" w:line="276" w:lineRule="auto"/>
        <w:jc w:val="both"/>
        <w:rPr>
          <w:b/>
          <w:bCs/>
          <w:highlight w:val="green"/>
          <w:u w:val="single"/>
        </w:rPr>
      </w:pPr>
    </w:p>
    <w:p w14:paraId="7B79F774" w14:textId="6E3D6AA8" w:rsidR="003740AB" w:rsidRPr="003740AB" w:rsidRDefault="003740AB" w:rsidP="003740AB">
      <w:pPr>
        <w:spacing w:after="160" w:line="276" w:lineRule="auto"/>
        <w:jc w:val="both"/>
        <w:rPr>
          <w:b/>
          <w:bCs/>
          <w:u w:val="single"/>
        </w:rPr>
      </w:pPr>
      <w:r w:rsidRPr="003740AB">
        <w:rPr>
          <w:b/>
          <w:bCs/>
          <w:highlight w:val="green"/>
          <w:u w:val="single"/>
        </w:rPr>
        <w:lastRenderedPageBreak/>
        <w:t>21.10.2024:</w:t>
      </w:r>
    </w:p>
    <w:p w14:paraId="3B8070BD" w14:textId="09AB77E7" w:rsidR="003740AB" w:rsidRPr="006D4698" w:rsidRDefault="003740AB" w:rsidP="003740AB">
      <w:pPr>
        <w:spacing w:after="160" w:line="259" w:lineRule="auto"/>
      </w:pPr>
      <w:r w:rsidRPr="003740AB">
        <w:rPr>
          <w:i/>
          <w:iCs/>
          <w:u w:val="single"/>
        </w:rPr>
        <w:t>Pytanie</w:t>
      </w:r>
      <w:r w:rsidRPr="003740AB">
        <w:rPr>
          <w:i/>
          <w:iCs/>
        </w:rPr>
        <w:t xml:space="preserve">: </w:t>
      </w:r>
      <w:r w:rsidRPr="006D4698">
        <w:t>W punkcie 19.1 wymienione są załączniki i jako 16 Oświadczenie o posiadanej dokumentacji technicznej, stanowiące załącznik nr 18 do niniejszego regulaminu. Obok wyjaśnione jest: wraz z wnioskiem o dofinansowanie (jeśli Wnioskodawca posiada na dzień składania wniosku lub w terminie</w:t>
      </w:r>
      <w:r>
        <w:t xml:space="preserve"> </w:t>
      </w:r>
      <w:r w:rsidRPr="006D4698">
        <w:t>wskazanym w § 25 ust 1 umowy o dofinansowanie).</w:t>
      </w:r>
    </w:p>
    <w:p w14:paraId="2EB7DC99" w14:textId="77777777" w:rsidR="003740AB" w:rsidRPr="006D4698" w:rsidRDefault="003740AB" w:rsidP="003740AB">
      <w:pPr>
        <w:spacing w:after="160" w:line="259" w:lineRule="auto"/>
      </w:pPr>
      <w:r w:rsidRPr="006D4698">
        <w:t>W umowie z kolei w § 25 ust 1 jest wykropkowane. W samym Regulaminie również nie możemy znaleźć tej informacji. Czy jest już określone jaki będzie czas na dostarczenie tego oświadczenie od momentu podpisania umowy? (jaki okres będzie wpisany do § 25 ust 1)?</w:t>
      </w:r>
    </w:p>
    <w:p w14:paraId="5E96A542" w14:textId="77777777" w:rsidR="003740AB" w:rsidRPr="003740AB" w:rsidRDefault="003740AB" w:rsidP="003740AB">
      <w:pPr>
        <w:spacing w:after="160" w:line="276" w:lineRule="auto"/>
        <w:jc w:val="both"/>
        <w:rPr>
          <w:u w:val="single"/>
        </w:rPr>
      </w:pPr>
      <w:r w:rsidRPr="003740AB">
        <w:rPr>
          <w:u w:val="single"/>
        </w:rPr>
        <w:t>Odpowiedź:</w:t>
      </w:r>
    </w:p>
    <w:p w14:paraId="544EC059" w14:textId="77777777" w:rsidR="003740AB" w:rsidRPr="00B06B2D" w:rsidRDefault="003740AB" w:rsidP="003740AB">
      <w:pPr>
        <w:spacing w:line="276" w:lineRule="auto"/>
        <w:jc w:val="both"/>
      </w:pPr>
      <w:r>
        <w:t xml:space="preserve">Zgodnie z zapisami </w:t>
      </w:r>
      <w:r w:rsidRPr="003740AB">
        <w:rPr>
          <w:i/>
          <w:iCs/>
        </w:rPr>
        <w:t>Regulaminu wyboru projektów</w:t>
      </w:r>
      <w:r>
        <w:t xml:space="preserve"> (punkt 15.3) cyt. „</w:t>
      </w:r>
      <w:r w:rsidRPr="003740AB">
        <w:rPr>
          <w:i/>
          <w:iCs/>
        </w:rPr>
        <w:t xml:space="preserve">W ramach przedmiotowego naboru przewiduje się możliwość zawierania </w:t>
      </w:r>
      <w:r w:rsidRPr="003740AB">
        <w:rPr>
          <w:b/>
          <w:bCs/>
          <w:i/>
          <w:iCs/>
        </w:rPr>
        <w:t>warunkowych umów o dofinansowanie projektu</w:t>
      </w:r>
      <w:r w:rsidRPr="003740AB">
        <w:rPr>
          <w:i/>
          <w:iCs/>
        </w:rPr>
        <w:t xml:space="preserve">. W przypadku konieczności dostarczenia dokumentów określonych w umowie o dofinansowanie, termin ich przedłożenia do IZ FEŚ określany jest w umowie o dofinansowanie. W uzasadnionych przypadkach, IZ FEŚ może wydłużyć niniejszy termin, co wiązało się będzie z koniecznością aneksowania umowy o dofinansowanie.” </w:t>
      </w:r>
      <w:r>
        <w:t>Mając na uwadze powyższe, termin złożenia dokumentów wymienionych w załączniku nr 3 do „umowy” będzie ustalany indywidualnie z każdym Wnioskodawcą, przed zawarciem umowy o dofinansowanie projektu.</w:t>
      </w:r>
    </w:p>
    <w:p w14:paraId="6C35FB55" w14:textId="77777777" w:rsidR="003740AB" w:rsidRPr="003740AB" w:rsidRDefault="003740AB" w:rsidP="003740AB">
      <w:pPr>
        <w:spacing w:line="276" w:lineRule="auto"/>
        <w:jc w:val="both"/>
        <w:rPr>
          <w:iCs/>
        </w:rPr>
      </w:pPr>
      <w:r w:rsidRPr="003740AB">
        <w:rPr>
          <w:b/>
          <w:bCs/>
          <w:i/>
          <w:iCs/>
        </w:rPr>
        <w:t>Oświadczenie o posiadanej dokumentacji technicznej Wnioskodawca</w:t>
      </w:r>
      <w:r w:rsidRPr="00B06B2D">
        <w:t xml:space="preserve"> będzie mógł przedłożyć do I</w:t>
      </w:r>
      <w:r>
        <w:t>Z</w:t>
      </w:r>
      <w:r w:rsidRPr="00B06B2D">
        <w:t xml:space="preserve">, jeżeli będzie posiadał </w:t>
      </w:r>
      <w:r w:rsidRPr="003740AB">
        <w:rPr>
          <w:iCs/>
        </w:rPr>
        <w:t xml:space="preserve">pełną, wymaganą prawem, w przypadku typu przedmiotowego przedsięwzięcia, dokumentację techniczną projektu. Jeżeli Wnioskodawca będzie posiadał pełną dokumentację na dzień składania wniosku, wówczas, złoży również niniejsze oświadczenie. Jednak najpóźniej niniejsze oświadczenie będzie musiał przedłożyć w terminie wskazanym w </w:t>
      </w:r>
      <w:r w:rsidRPr="006D4698">
        <w:t>§ 25</w:t>
      </w:r>
      <w:r>
        <w:t xml:space="preserve"> umowy o dofinansowanie.</w:t>
      </w:r>
    </w:p>
    <w:p w14:paraId="074A5EB3" w14:textId="77777777" w:rsidR="00C26E80" w:rsidRDefault="00C26E80" w:rsidP="00F02F02">
      <w:pPr>
        <w:rPr>
          <w:b/>
          <w:bCs/>
          <w:highlight w:val="green"/>
          <w:u w:val="single"/>
        </w:rPr>
      </w:pPr>
    </w:p>
    <w:p w14:paraId="547E9DCC" w14:textId="6B1E5FB4" w:rsidR="00F02F02" w:rsidRPr="00C26E80" w:rsidRDefault="00F02F02" w:rsidP="00F02F02">
      <w:pPr>
        <w:rPr>
          <w:b/>
          <w:bCs/>
          <w:u w:val="single"/>
        </w:rPr>
      </w:pPr>
      <w:r w:rsidRPr="00C26E80">
        <w:rPr>
          <w:b/>
          <w:bCs/>
          <w:highlight w:val="green"/>
          <w:u w:val="single"/>
        </w:rPr>
        <w:t>23.10.2024r.</w:t>
      </w:r>
    </w:p>
    <w:p w14:paraId="7700C452" w14:textId="266F27FB" w:rsidR="00F02F02" w:rsidRPr="004B5831" w:rsidRDefault="00F02F02" w:rsidP="00F02F02">
      <w:r w:rsidRPr="00F02F02">
        <w:rPr>
          <w:i/>
          <w:iCs/>
          <w:u w:val="single"/>
        </w:rPr>
        <w:t>Pytanie:</w:t>
      </w:r>
      <w:r>
        <w:t xml:space="preserve"> C</w:t>
      </w:r>
      <w:r w:rsidRPr="004B5831">
        <w:t xml:space="preserve">zy w konkursie 2.1 dotacje - kotły gazowe w hybrydzie z pompą ciepła są/będą kwalifikowalne? </w:t>
      </w:r>
    </w:p>
    <w:p w14:paraId="720A59A2" w14:textId="77777777" w:rsidR="00F02F02" w:rsidRPr="00F02F02" w:rsidRDefault="00F02F02" w:rsidP="00F02F02">
      <w:pPr>
        <w:rPr>
          <w:i/>
          <w:iCs/>
          <w:u w:val="single"/>
        </w:rPr>
      </w:pPr>
      <w:r w:rsidRPr="00F02F02">
        <w:rPr>
          <w:i/>
          <w:iCs/>
          <w:u w:val="single"/>
        </w:rPr>
        <w:t>Odpowiedź:</w:t>
      </w:r>
    </w:p>
    <w:p w14:paraId="121D965D" w14:textId="77777777" w:rsidR="00F02F02" w:rsidRPr="004B5831" w:rsidRDefault="00F02F02" w:rsidP="00F02F02">
      <w:pPr>
        <w:jc w:val="both"/>
      </w:pPr>
      <w:r w:rsidRPr="004B5831">
        <w:t xml:space="preserve">Zgodnie z zapisami </w:t>
      </w:r>
      <w:r w:rsidRPr="004B5831">
        <w:rPr>
          <w:i/>
          <w:iCs/>
        </w:rPr>
        <w:t>Regulaminu wyboru projektów</w:t>
      </w:r>
      <w:r>
        <w:t xml:space="preserve"> </w:t>
      </w:r>
      <w:r w:rsidRPr="004B5831">
        <w:rPr>
          <w:b/>
          <w:bCs/>
        </w:rPr>
        <w:t>kosztami</w:t>
      </w:r>
      <w:r>
        <w:rPr>
          <w:b/>
          <w:bCs/>
        </w:rPr>
        <w:t xml:space="preserve"> </w:t>
      </w:r>
      <w:r w:rsidRPr="004B5831">
        <w:rPr>
          <w:b/>
          <w:bCs/>
        </w:rPr>
        <w:t>niekwalifikowalnymi</w:t>
      </w:r>
      <w:r>
        <w:t xml:space="preserve"> są:</w:t>
      </w:r>
    </w:p>
    <w:p w14:paraId="141E20AA" w14:textId="77777777" w:rsidR="00F02F02" w:rsidRDefault="00F02F02" w:rsidP="00F02F02">
      <w:pPr>
        <w:jc w:val="both"/>
      </w:pPr>
      <w:r w:rsidRPr="00653656">
        <w:rPr>
          <w:b/>
          <w:bCs/>
        </w:rPr>
        <w:t>Zakup i montaż</w:t>
      </w:r>
      <w:r w:rsidRPr="004B5831">
        <w:t xml:space="preserve"> </w:t>
      </w:r>
      <w:r w:rsidRPr="004B5831">
        <w:rPr>
          <w:b/>
          <w:bCs/>
        </w:rPr>
        <w:t>kotłów gazowych</w:t>
      </w:r>
      <w:r w:rsidRPr="004B5831">
        <w:t xml:space="preserve">, węglowych, na </w:t>
      </w:r>
      <w:proofErr w:type="spellStart"/>
      <w:r w:rsidRPr="004B5831">
        <w:t>ekogroszek</w:t>
      </w:r>
      <w:proofErr w:type="spellEnd"/>
      <w:r w:rsidRPr="004B5831">
        <w:t xml:space="preserve"> i olejowych </w:t>
      </w:r>
      <w:r w:rsidRPr="00653656">
        <w:t>(p</w:t>
      </w:r>
      <w:r>
        <w:t xml:space="preserve">kt </w:t>
      </w:r>
      <w:r w:rsidRPr="00653656">
        <w:t>7.9</w:t>
      </w:r>
      <w:r>
        <w:t xml:space="preserve"> lit.</w:t>
      </w:r>
      <w:r w:rsidRPr="00653656">
        <w:t xml:space="preserve"> n)</w:t>
      </w:r>
      <w:r>
        <w:t xml:space="preserve">. </w:t>
      </w:r>
    </w:p>
    <w:p w14:paraId="62D7DA0B" w14:textId="77777777" w:rsidR="00F02F02" w:rsidRPr="004B5831" w:rsidRDefault="00F02F02" w:rsidP="00F02F02">
      <w:pPr>
        <w:jc w:val="both"/>
      </w:pPr>
      <w:r w:rsidRPr="00653656">
        <w:t xml:space="preserve">Natomiast możliwe będzie stworzenie hybrydowego systemu </w:t>
      </w:r>
      <w:r>
        <w:t xml:space="preserve">ogrzewania </w:t>
      </w:r>
      <w:r w:rsidRPr="00653656">
        <w:t>wykorzystującego istniejący lub nowo montowany kocioł gazowy (który byłby niekwalifikowalny) i pompę ciepła, która może stanowić wydatek kwalifikowalny.</w:t>
      </w:r>
    </w:p>
    <w:p w14:paraId="1AF58DD8" w14:textId="77777777" w:rsidR="00C26E80" w:rsidRDefault="00C26E80" w:rsidP="00C26E80">
      <w:pPr>
        <w:spacing w:line="276" w:lineRule="auto"/>
        <w:jc w:val="both"/>
        <w:rPr>
          <w:b/>
          <w:bCs/>
          <w:u w:val="single"/>
        </w:rPr>
      </w:pPr>
    </w:p>
    <w:p w14:paraId="4A18DAE1" w14:textId="4B1FB87E" w:rsidR="00C26E80" w:rsidRPr="00C26E80" w:rsidRDefault="00C26E80" w:rsidP="00C26E80">
      <w:pPr>
        <w:spacing w:line="276" w:lineRule="auto"/>
        <w:jc w:val="both"/>
        <w:rPr>
          <w:b/>
          <w:bCs/>
          <w:u w:val="single"/>
        </w:rPr>
      </w:pPr>
      <w:r w:rsidRPr="00C26E80">
        <w:rPr>
          <w:b/>
          <w:bCs/>
          <w:highlight w:val="green"/>
          <w:u w:val="single"/>
        </w:rPr>
        <w:t>28.10.2024r.</w:t>
      </w:r>
    </w:p>
    <w:p w14:paraId="3691B591" w14:textId="77777777" w:rsidR="00C26E80" w:rsidRPr="00C26E80" w:rsidRDefault="00C26E80" w:rsidP="00C26E80">
      <w:pPr>
        <w:spacing w:line="276" w:lineRule="auto"/>
        <w:jc w:val="both"/>
      </w:pPr>
    </w:p>
    <w:p w14:paraId="0EEF4EA0" w14:textId="77777777" w:rsidR="00C26E80" w:rsidRPr="00C26E80" w:rsidRDefault="00C26E80" w:rsidP="00C26E80">
      <w:pPr>
        <w:spacing w:line="276" w:lineRule="auto"/>
        <w:jc w:val="both"/>
      </w:pPr>
      <w:r w:rsidRPr="00C26E80">
        <w:rPr>
          <w:i/>
          <w:iCs/>
        </w:rPr>
        <w:lastRenderedPageBreak/>
        <w:t>Pytanie:</w:t>
      </w:r>
      <w:r w:rsidRPr="00C26E80">
        <w:t xml:space="preserve"> czy Zespół Szkół Centrum Kształcenia Rolniczego w Sichowie Dużym zlokalizowany na terenie gminy wymienionej w Regulaminie konkursu, dla której organem prowadzącym jest Minister Rolnictwa i Rozwoju Wsi kwalifikuje się do naboru 2.1 termomodernizacja – dotacje?</w:t>
      </w:r>
    </w:p>
    <w:p w14:paraId="0DA80687" w14:textId="77777777" w:rsidR="00C26E80" w:rsidRPr="00C26E80" w:rsidRDefault="00C26E80" w:rsidP="00C26E80">
      <w:pPr>
        <w:spacing w:line="276" w:lineRule="auto"/>
        <w:jc w:val="both"/>
      </w:pPr>
      <w:r w:rsidRPr="00C26E80">
        <w:t xml:space="preserve"> </w:t>
      </w:r>
    </w:p>
    <w:p w14:paraId="020F1794" w14:textId="77777777" w:rsidR="00C26E80" w:rsidRPr="00C26E80" w:rsidRDefault="00C26E80" w:rsidP="00C26E80">
      <w:pPr>
        <w:spacing w:line="276" w:lineRule="auto"/>
        <w:jc w:val="both"/>
        <w:rPr>
          <w:i/>
          <w:iCs/>
        </w:rPr>
      </w:pPr>
      <w:r w:rsidRPr="00C26E80">
        <w:rPr>
          <w:i/>
          <w:iCs/>
        </w:rPr>
        <w:t>Odpowiedź:</w:t>
      </w:r>
    </w:p>
    <w:p w14:paraId="18083487" w14:textId="77777777" w:rsidR="00C26E80" w:rsidRPr="00C26E80" w:rsidRDefault="00C26E80" w:rsidP="00C26E80">
      <w:pPr>
        <w:spacing w:line="276" w:lineRule="auto"/>
        <w:jc w:val="both"/>
      </w:pPr>
      <w:r w:rsidRPr="00C26E80">
        <w:t>W odpowiedzi należy wskazać, iż zgodnie z zapisami Regulaminu pkt. 3.1 W ramach naboru dofinansowanie mogą otrzymać projekty dotyczące poprawy efektywności  energetycznej/kompleksowej modernizacji energetycznej budynków użyteczności publicznej, z uwzględnieniem zapisów Linii demarkacyjnej, Umowy partnerstwa, Programu FEŚ 2021-2027 i SZOP FEŚ 2021-2027. Będą to w szczególności budynki:</w:t>
      </w:r>
    </w:p>
    <w:p w14:paraId="0DD3D586" w14:textId="56958290" w:rsidR="00C26E80" w:rsidRPr="00C26E80" w:rsidRDefault="00C26E80" w:rsidP="00C26E80">
      <w:pPr>
        <w:pStyle w:val="Akapitzlist"/>
        <w:numPr>
          <w:ilvl w:val="0"/>
          <w:numId w:val="9"/>
        </w:numPr>
        <w:spacing w:line="276" w:lineRule="auto"/>
        <w:jc w:val="both"/>
      </w:pPr>
      <w:r w:rsidRPr="00C26E80">
        <w:t xml:space="preserve">których właścicielem jest samorząd terytorialny oraz podległe mu organy i jednostki organizacyjne oraz jednostki zarządzane przez JST, między innymi: szkoły, przedszkola, świetlice wiejskie, szpitale, </w:t>
      </w:r>
    </w:p>
    <w:p w14:paraId="12B31BD2" w14:textId="596554B9" w:rsidR="00C26E80" w:rsidRPr="00C26E80" w:rsidRDefault="00C26E80" w:rsidP="00C26E80">
      <w:pPr>
        <w:pStyle w:val="Akapitzlist"/>
        <w:numPr>
          <w:ilvl w:val="0"/>
          <w:numId w:val="9"/>
        </w:numPr>
        <w:spacing w:line="276" w:lineRule="auto"/>
        <w:jc w:val="both"/>
      </w:pPr>
      <w:r w:rsidRPr="00C26E80">
        <w:t xml:space="preserve">budynki użyteczności publicznej niezwiązane z administracją rządową, w tym np. budynki parafii, w których świadczone są usługi publiczne, </w:t>
      </w:r>
    </w:p>
    <w:p w14:paraId="7C3F0C38" w14:textId="67B08260" w:rsidR="00C26E80" w:rsidRPr="00C26E80" w:rsidRDefault="00C26E80" w:rsidP="00C26E80">
      <w:pPr>
        <w:pStyle w:val="Akapitzlist"/>
        <w:numPr>
          <w:ilvl w:val="0"/>
          <w:numId w:val="9"/>
        </w:numPr>
        <w:spacing w:line="276" w:lineRule="auto"/>
        <w:jc w:val="both"/>
      </w:pPr>
      <w:r w:rsidRPr="00C26E80">
        <w:t>budynki instytucji organizacji pozarządowych (NGO), w których świadczone są usługi publiczne (…)</w:t>
      </w:r>
    </w:p>
    <w:p w14:paraId="19C4C4BF" w14:textId="77777777" w:rsidR="00C26E80" w:rsidRPr="00C26E80" w:rsidRDefault="00C26E80" w:rsidP="00C26E80">
      <w:pPr>
        <w:spacing w:line="276" w:lineRule="auto"/>
        <w:jc w:val="both"/>
      </w:pPr>
      <w:r w:rsidRPr="00C26E80">
        <w:t>A Beneficjentami uprawnionymi do wsparcia są:</w:t>
      </w:r>
    </w:p>
    <w:p w14:paraId="2CBC855E" w14:textId="30000575" w:rsidR="00C26E80" w:rsidRPr="00C26E80" w:rsidRDefault="00C26E80" w:rsidP="00C26E80">
      <w:pPr>
        <w:pStyle w:val="Akapitzlist"/>
        <w:numPr>
          <w:ilvl w:val="0"/>
          <w:numId w:val="10"/>
        </w:numPr>
        <w:spacing w:line="276" w:lineRule="auto"/>
        <w:jc w:val="both"/>
      </w:pPr>
      <w:r w:rsidRPr="00C26E80">
        <w:t xml:space="preserve">Jednostki Samorządu Terytorialnego, </w:t>
      </w:r>
    </w:p>
    <w:p w14:paraId="5755208B" w14:textId="62992B1A" w:rsidR="00C26E80" w:rsidRPr="00C26E80" w:rsidRDefault="00C26E80" w:rsidP="00C26E80">
      <w:pPr>
        <w:pStyle w:val="Akapitzlist"/>
        <w:numPr>
          <w:ilvl w:val="0"/>
          <w:numId w:val="10"/>
        </w:numPr>
        <w:spacing w:line="276" w:lineRule="auto"/>
        <w:jc w:val="both"/>
      </w:pPr>
      <w:r w:rsidRPr="00C26E80">
        <w:t xml:space="preserve">Jednostki organizacyjne działające  w imieniu jednostek samorządu terytorialnego, </w:t>
      </w:r>
    </w:p>
    <w:p w14:paraId="4A7B629C" w14:textId="77777777" w:rsidR="00C26E80" w:rsidRDefault="00C26E80" w:rsidP="00C26E80">
      <w:pPr>
        <w:pStyle w:val="Akapitzlist"/>
        <w:numPr>
          <w:ilvl w:val="0"/>
          <w:numId w:val="10"/>
        </w:numPr>
        <w:spacing w:line="276" w:lineRule="auto"/>
        <w:jc w:val="both"/>
      </w:pPr>
      <w:r w:rsidRPr="00C26E80">
        <w:t xml:space="preserve">Podmioty świadczące usługi publiczne w ramach realizacji obowiązków własnych jednostek samorządu terytorialnego, </w:t>
      </w:r>
    </w:p>
    <w:p w14:paraId="1BF4D5B9" w14:textId="77777777" w:rsidR="00C26E80" w:rsidRDefault="00C26E80" w:rsidP="00C26E80">
      <w:pPr>
        <w:pStyle w:val="Akapitzlist"/>
        <w:numPr>
          <w:ilvl w:val="0"/>
          <w:numId w:val="10"/>
        </w:numPr>
        <w:spacing w:line="276" w:lineRule="auto"/>
        <w:jc w:val="both"/>
      </w:pPr>
      <w:r w:rsidRPr="00C26E80">
        <w:t>Publiczne zakłady opieki zdrowotnej,</w:t>
      </w:r>
    </w:p>
    <w:p w14:paraId="5F4890CF" w14:textId="77777777" w:rsidR="00C26E80" w:rsidRDefault="00C26E80" w:rsidP="00C26E80">
      <w:pPr>
        <w:pStyle w:val="Akapitzlist"/>
        <w:numPr>
          <w:ilvl w:val="0"/>
          <w:numId w:val="10"/>
        </w:numPr>
        <w:spacing w:line="276" w:lineRule="auto"/>
        <w:jc w:val="both"/>
      </w:pPr>
      <w:r w:rsidRPr="00C26E80">
        <w:t xml:space="preserve">Kościoły i związki wyznaniowe, </w:t>
      </w:r>
    </w:p>
    <w:p w14:paraId="5DB90DCF" w14:textId="77777777" w:rsidR="00C26E80" w:rsidRDefault="00C26E80" w:rsidP="00C26E80">
      <w:pPr>
        <w:pStyle w:val="Akapitzlist"/>
        <w:numPr>
          <w:ilvl w:val="0"/>
          <w:numId w:val="10"/>
        </w:numPr>
        <w:spacing w:line="276" w:lineRule="auto"/>
        <w:jc w:val="both"/>
      </w:pPr>
      <w:r w:rsidRPr="00C26E80">
        <w:t xml:space="preserve">Organizacje pozarządowe działające non- profit, </w:t>
      </w:r>
    </w:p>
    <w:p w14:paraId="29E99DA3" w14:textId="77777777" w:rsidR="00C26E80" w:rsidRDefault="00C26E80" w:rsidP="00C26E80">
      <w:pPr>
        <w:pStyle w:val="Akapitzlist"/>
        <w:numPr>
          <w:ilvl w:val="0"/>
          <w:numId w:val="10"/>
        </w:numPr>
        <w:spacing w:line="276" w:lineRule="auto"/>
        <w:jc w:val="both"/>
      </w:pPr>
      <w:r w:rsidRPr="00C26E80">
        <w:t xml:space="preserve">Partnerstwa </w:t>
      </w:r>
      <w:proofErr w:type="spellStart"/>
      <w:r w:rsidRPr="00C26E80">
        <w:t>Publiczno</w:t>
      </w:r>
      <w:proofErr w:type="spellEnd"/>
      <w:r w:rsidRPr="00C26E80">
        <w:t xml:space="preserve"> – Prywatne, </w:t>
      </w:r>
    </w:p>
    <w:p w14:paraId="4307036A" w14:textId="77777777" w:rsidR="00C26E80" w:rsidRDefault="00C26E80" w:rsidP="00C26E80">
      <w:pPr>
        <w:pStyle w:val="Akapitzlist"/>
        <w:numPr>
          <w:ilvl w:val="0"/>
          <w:numId w:val="10"/>
        </w:numPr>
        <w:spacing w:line="276" w:lineRule="auto"/>
        <w:jc w:val="both"/>
      </w:pPr>
      <w:r w:rsidRPr="00C26E80">
        <w:t xml:space="preserve">Szkoły i inne placówki systemu oświaty, </w:t>
      </w:r>
    </w:p>
    <w:p w14:paraId="37856DAE" w14:textId="77777777" w:rsidR="00C26E80" w:rsidRDefault="00C26E80" w:rsidP="00C26E80">
      <w:pPr>
        <w:pStyle w:val="Akapitzlist"/>
        <w:numPr>
          <w:ilvl w:val="0"/>
          <w:numId w:val="10"/>
        </w:numPr>
        <w:spacing w:line="276" w:lineRule="auto"/>
        <w:jc w:val="both"/>
      </w:pPr>
      <w:r w:rsidRPr="00C26E80">
        <w:t>Przedszkola i inne formy wychowania przedszkolnego,</w:t>
      </w:r>
    </w:p>
    <w:p w14:paraId="55EB0D7B" w14:textId="53672864" w:rsidR="00C26E80" w:rsidRPr="00C26E80" w:rsidRDefault="00C26E80" w:rsidP="00C26E80">
      <w:pPr>
        <w:pStyle w:val="Akapitzlist"/>
        <w:numPr>
          <w:ilvl w:val="0"/>
          <w:numId w:val="10"/>
        </w:numPr>
        <w:spacing w:line="276" w:lineRule="auto"/>
        <w:jc w:val="both"/>
      </w:pPr>
      <w:r w:rsidRPr="00C26E80">
        <w:t>Instytucje kultury.</w:t>
      </w:r>
    </w:p>
    <w:p w14:paraId="35711D19" w14:textId="77777777" w:rsidR="00C26E80" w:rsidRPr="00C26E80" w:rsidRDefault="00C26E80" w:rsidP="00C26E80">
      <w:pPr>
        <w:spacing w:line="276" w:lineRule="auto"/>
        <w:jc w:val="both"/>
        <w:rPr>
          <w:i/>
          <w:iCs/>
        </w:rPr>
      </w:pPr>
      <w:r w:rsidRPr="00C26E80">
        <w:t xml:space="preserve">Zgodnie z zapisami </w:t>
      </w:r>
      <w:r w:rsidRPr="00C26E80">
        <w:rPr>
          <w:i/>
          <w:iCs/>
        </w:rPr>
        <w:t>Linii Demarkacyjnej</w:t>
      </w:r>
      <w:r w:rsidRPr="00C26E80">
        <w:t xml:space="preserve">, dla celu </w:t>
      </w:r>
      <w:r w:rsidRPr="00C26E80">
        <w:rPr>
          <w:i/>
          <w:iCs/>
        </w:rPr>
        <w:t>Wspieranie efektywności energetycznej i</w:t>
      </w:r>
    </w:p>
    <w:p w14:paraId="4F7613C2" w14:textId="77777777" w:rsidR="00C26E80" w:rsidRPr="00C26E80" w:rsidRDefault="00C26E80" w:rsidP="00C26E80">
      <w:pPr>
        <w:spacing w:line="276" w:lineRule="auto"/>
        <w:jc w:val="both"/>
        <w:rPr>
          <w:i/>
          <w:iCs/>
        </w:rPr>
      </w:pPr>
      <w:r w:rsidRPr="00C26E80">
        <w:rPr>
          <w:i/>
          <w:iCs/>
        </w:rPr>
        <w:t>redukcji emisji gazów cieplarnianych,</w:t>
      </w:r>
      <w:r w:rsidRPr="00C26E80">
        <w:t xml:space="preserve"> typu projektu </w:t>
      </w:r>
      <w:r w:rsidRPr="00C26E80">
        <w:rPr>
          <w:i/>
          <w:iCs/>
        </w:rPr>
        <w:t>Poprawa efektywności energetycznej budynków użyteczności publicznej wraz z instalacją urządzeń OZE oraz wymianą/modernizacją źródeł ciepła albo podłączeniem do sieci ciepłowniczej/ chłodniczej</w:t>
      </w:r>
      <w:r w:rsidRPr="00C26E80">
        <w:t xml:space="preserve">, </w:t>
      </w:r>
      <w:r w:rsidRPr="00C26E80">
        <w:rPr>
          <w:b/>
          <w:bCs/>
        </w:rPr>
        <w:t xml:space="preserve">wsparcie w ramach poziomu krajowego uzyskają: </w:t>
      </w:r>
      <w:r w:rsidRPr="00C26E80">
        <w:rPr>
          <w:b/>
          <w:bCs/>
          <w:i/>
          <w:iCs/>
        </w:rPr>
        <w:t>Administracja rządowa, podległe jej jednostki organizacyjne, w tym państwowe jednostki budżetowe</w:t>
      </w:r>
      <w:r w:rsidRPr="00C26E80">
        <w:rPr>
          <w:i/>
          <w:iCs/>
        </w:rPr>
        <w:t xml:space="preserve"> oraz podległe jej organy, uczelnie wyższe, szpitale i przychodnie zarządzane przez administrację centralną/ jednostki organizacyjne. Budynki szkolne objęte rządowym programem 1000 niskoemisyjnych szkół.</w:t>
      </w:r>
    </w:p>
    <w:p w14:paraId="7FE0E4D8" w14:textId="77777777" w:rsidR="00C26E80" w:rsidRPr="00C26E80" w:rsidRDefault="00C26E80" w:rsidP="00C26E80">
      <w:pPr>
        <w:spacing w:line="276" w:lineRule="auto"/>
        <w:jc w:val="both"/>
      </w:pPr>
    </w:p>
    <w:p w14:paraId="71B83DD5" w14:textId="77777777" w:rsidR="00C26E80" w:rsidRPr="00C26E80" w:rsidRDefault="00C26E80" w:rsidP="00C26E80">
      <w:pPr>
        <w:spacing w:line="276" w:lineRule="auto"/>
        <w:jc w:val="both"/>
      </w:pPr>
      <w:r w:rsidRPr="00C26E80">
        <w:t>Mając na uwadze przywołane powyżej zapisy oraz informacje zawarte w pytaniu IZ FEŚ stoi na stanowisku, iż wskazana w pytaniu szkoła nie kwalifikuje się do wsparcia w ramach niniejszego naboru.</w:t>
      </w:r>
    </w:p>
    <w:p w14:paraId="7EAF3356" w14:textId="77777777" w:rsidR="00554811" w:rsidRDefault="00554811" w:rsidP="00554811">
      <w:pPr>
        <w:spacing w:after="160" w:line="276" w:lineRule="auto"/>
        <w:jc w:val="both"/>
        <w:rPr>
          <w:b/>
          <w:bCs/>
          <w:highlight w:val="green"/>
          <w:u w:val="single"/>
        </w:rPr>
      </w:pPr>
    </w:p>
    <w:p w14:paraId="21374CBA" w14:textId="77777777" w:rsidR="0066573B" w:rsidRDefault="0066573B" w:rsidP="0066573B">
      <w:pPr>
        <w:spacing w:line="276" w:lineRule="auto"/>
        <w:jc w:val="both"/>
        <w:rPr>
          <w:highlight w:val="green"/>
        </w:rPr>
      </w:pPr>
    </w:p>
    <w:p w14:paraId="15B71EC9" w14:textId="558D1A50" w:rsidR="0066573B" w:rsidRPr="00A535C0" w:rsidRDefault="0066573B" w:rsidP="0066573B">
      <w:pPr>
        <w:spacing w:line="276" w:lineRule="auto"/>
        <w:jc w:val="both"/>
      </w:pPr>
      <w:r w:rsidRPr="00A535C0">
        <w:rPr>
          <w:highlight w:val="green"/>
        </w:rPr>
        <w:lastRenderedPageBreak/>
        <w:t>06.11.2024r.</w:t>
      </w:r>
    </w:p>
    <w:p w14:paraId="2D24C41C" w14:textId="77777777" w:rsidR="0066573B" w:rsidRPr="00A535C0" w:rsidRDefault="0066573B" w:rsidP="0066573B">
      <w:pPr>
        <w:spacing w:line="276" w:lineRule="auto"/>
        <w:jc w:val="both"/>
      </w:pPr>
      <w:r w:rsidRPr="0066573B">
        <w:rPr>
          <w:i/>
          <w:iCs/>
          <w:u w:val="single"/>
        </w:rPr>
        <w:t>Pytanie:</w:t>
      </w:r>
      <w:r w:rsidRPr="0066573B">
        <w:rPr>
          <w:i/>
          <w:iCs/>
          <w:u w:val="single"/>
        </w:rPr>
        <w:br/>
      </w:r>
      <w:r w:rsidRPr="00A535C0">
        <w:t xml:space="preserve">W dokumentach naboru zawarta jest ogólna informacja o konieczności zmniejszenia energii pierwotnej o co najmniej 30%, bez precyzowania źródeł i odbiorników tej energii. Natomiast w dokumencie "Kryteria merytoryczne dopuszczające specyficzne i punktowe - typ projektu: „Budynki użyteczności publicznej”, strona 4, pkt 5 "Osiągnięcie minimalnego poziomu oszczędności energii", sprecyzowano  że .."Warunkiem koniecznym do spełnienia kryterium jest w odniesieniu do każdego budynku objętego projektem zmniejszenie rocznego zapotrzebowania na energię pierwotną </w:t>
      </w:r>
      <w:r w:rsidRPr="00A535C0">
        <w:rPr>
          <w:rStyle w:val="Pogrubienie"/>
        </w:rPr>
        <w:t>zużywaną na potrzeby ogrzewania i podgrzewania wody użytkowej</w:t>
      </w:r>
      <w:r w:rsidRPr="00A535C0">
        <w:t xml:space="preserve"> o co najmniej 30 % w odniesieniu do stanu wyjściowego". </w:t>
      </w:r>
    </w:p>
    <w:p w14:paraId="76843DC3" w14:textId="77777777" w:rsidR="0066573B" w:rsidRPr="00A535C0" w:rsidRDefault="0066573B" w:rsidP="0066573B">
      <w:pPr>
        <w:spacing w:line="276" w:lineRule="auto"/>
        <w:jc w:val="both"/>
      </w:pPr>
      <w:r w:rsidRPr="00A535C0">
        <w:t> </w:t>
      </w:r>
    </w:p>
    <w:p w14:paraId="4A4248A4" w14:textId="77777777" w:rsidR="0066573B" w:rsidRPr="00A535C0" w:rsidRDefault="0066573B" w:rsidP="0066573B">
      <w:pPr>
        <w:spacing w:line="276" w:lineRule="auto"/>
        <w:jc w:val="both"/>
      </w:pPr>
      <w:r w:rsidRPr="00A535C0">
        <w:t xml:space="preserve">Pragnę podkreślić, że wskazana w Świadectwie charakterystyki energetycznej budynku, jak i w audytach wartość EP (energii pierwotnej) to suma wszystkich energii pierwotnych zarówno dla </w:t>
      </w:r>
      <w:r w:rsidRPr="00A535C0">
        <w:rPr>
          <w:rStyle w:val="Pogrubienie"/>
        </w:rPr>
        <w:t>ogrzewania i podgrzewania wody użytkowej</w:t>
      </w:r>
      <w:r w:rsidRPr="00A535C0">
        <w:t xml:space="preserve"> ale także na potrzeby inne w tym wentylacji, klimatyzacji, oświetlenia itp..</w:t>
      </w:r>
    </w:p>
    <w:p w14:paraId="6BE99D82" w14:textId="77777777" w:rsidR="0066573B" w:rsidRPr="00A535C0" w:rsidRDefault="0066573B" w:rsidP="0066573B">
      <w:pPr>
        <w:spacing w:line="276" w:lineRule="auto"/>
        <w:jc w:val="both"/>
      </w:pPr>
      <w:r w:rsidRPr="00A535C0">
        <w:t> </w:t>
      </w:r>
    </w:p>
    <w:p w14:paraId="7C4C6D93" w14:textId="77777777" w:rsidR="0066573B" w:rsidRPr="00A535C0" w:rsidRDefault="0066573B" w:rsidP="0066573B">
      <w:pPr>
        <w:spacing w:line="276" w:lineRule="auto"/>
        <w:jc w:val="both"/>
      </w:pPr>
      <w:r w:rsidRPr="00A535C0">
        <w:t xml:space="preserve">Wartość EP w naborze, ma istotne znaczenie gdyż redukcja o 30% stanowi kryterium dopuszczające ale też wartość ta jest pośrednio dodatkowo punktowana. Z tego względu zachodzi konieczność pilnego doprecyzowania która wartość EP będzie badana. Proszę zatem o potwierdzenie  czy wartość EP we wniosku ma być wskazana </w:t>
      </w:r>
      <w:r w:rsidRPr="00A535C0">
        <w:rPr>
          <w:rStyle w:val="Pogrubienie"/>
        </w:rPr>
        <w:t>jedynie na potrzeby ogrzewania i podgrzania wody użytkowej</w:t>
      </w:r>
      <w:r w:rsidRPr="00A535C0">
        <w:t>?  Czy w takim przypadku należy wskazywać w Audycie odrębną wartość EP, na potrzeby ogrzewania i podgrzania wody użytkowej i całkowitej energii EP dla całego budynku</w:t>
      </w:r>
    </w:p>
    <w:p w14:paraId="1B14893B" w14:textId="77777777" w:rsidR="0066573B" w:rsidRPr="00A535C0" w:rsidRDefault="0066573B" w:rsidP="0066573B">
      <w:pPr>
        <w:spacing w:line="276" w:lineRule="auto"/>
        <w:jc w:val="both"/>
      </w:pPr>
    </w:p>
    <w:p w14:paraId="7DE15467" w14:textId="77777777" w:rsidR="0066573B" w:rsidRDefault="0066573B" w:rsidP="0066573B">
      <w:pPr>
        <w:spacing w:line="276" w:lineRule="auto"/>
        <w:jc w:val="both"/>
        <w:rPr>
          <w:i/>
          <w:iCs/>
        </w:rPr>
      </w:pPr>
      <w:r w:rsidRPr="00A535C0">
        <w:rPr>
          <w:i/>
          <w:iCs/>
        </w:rPr>
        <w:t>Odpowiedź:</w:t>
      </w:r>
    </w:p>
    <w:p w14:paraId="486FE78F" w14:textId="77777777" w:rsidR="0066573B" w:rsidRDefault="0066573B" w:rsidP="0066573B">
      <w:pPr>
        <w:spacing w:line="276" w:lineRule="auto"/>
        <w:jc w:val="both"/>
      </w:pPr>
      <w:r w:rsidRPr="00A535C0">
        <w:t xml:space="preserve">Zgodnie z definicją wskaźnika </w:t>
      </w:r>
      <w:r>
        <w:t xml:space="preserve">rezultatu </w:t>
      </w:r>
      <w:r w:rsidRPr="00A535C0">
        <w:t xml:space="preserve">zawartą w </w:t>
      </w:r>
      <w:r w:rsidRPr="00A535C0">
        <w:rPr>
          <w:i/>
          <w:iCs/>
        </w:rPr>
        <w:t xml:space="preserve">Regulaminie </w:t>
      </w:r>
      <w:r>
        <w:rPr>
          <w:i/>
          <w:iCs/>
        </w:rPr>
        <w:t>wyboru projektów</w:t>
      </w:r>
      <w:r>
        <w:t>,</w:t>
      </w:r>
      <w:r w:rsidRPr="00A535C0">
        <w:t xml:space="preserve"> poprzez:</w:t>
      </w:r>
      <w:r>
        <w:t xml:space="preserve"> </w:t>
      </w:r>
      <w:r w:rsidRPr="00A535C0">
        <w:rPr>
          <w:b/>
          <w:bCs/>
          <w:i/>
          <w:iCs/>
        </w:rPr>
        <w:t xml:space="preserve">Roczne zużycie energii pierwotnej w budynkach publicznych [MWh/rok] </w:t>
      </w:r>
      <w:r w:rsidRPr="00A535C0">
        <w:t xml:space="preserve">rozumie się </w:t>
      </w:r>
      <w:r w:rsidRPr="00271A01">
        <w:t>całkowite roczne zużycie energii pierwotnej podmiotów objętych wsparciem. Wartość bazowa odnosi się do rocznego zużycia energii pierwotnej przed interwencją, a osiągnięta wartość odnosi się do rocznego zużycia energii pierwotnej rok po interwencji.</w:t>
      </w:r>
      <w:r w:rsidRPr="00271A01">
        <w:rPr>
          <w:i/>
          <w:iCs/>
        </w:rPr>
        <w:t xml:space="preserve"> </w:t>
      </w:r>
      <w:r w:rsidRPr="00271A01">
        <w:t xml:space="preserve">W przypadku budynków obie wartości odnoszą się do całkowitej energii pierwotnej i należy je udokumentować na podstawie świadectw charakterystyki energetycznej, </w:t>
      </w:r>
      <w:r w:rsidRPr="00271A01">
        <w:rPr>
          <w:b/>
          <w:bCs/>
        </w:rPr>
        <w:t>zgodnie z dyrektywą 2010/31/UE</w:t>
      </w:r>
      <w:r w:rsidRPr="00271A01">
        <w:t>.</w:t>
      </w:r>
      <w:r w:rsidRPr="00A535C0">
        <w:t xml:space="preserve"> Realizacja projektu musi w odniesieniu do każdego z budynków objętych jego zakresem spowodować osiągnięcie co najmniej 30 %-owej poprawy efektywności energetycznej (mierzonej oszczędnością energii pierwotnej w stosunku do stanu przed realizacją) wyliczonej na podstawie przedstawionych we Wniosku wartości wskaźnika </w:t>
      </w:r>
      <w:r w:rsidRPr="00A535C0">
        <w:rPr>
          <w:i/>
          <w:iCs/>
        </w:rPr>
        <w:t>Roczne zużycie energii pierwotnej w budynkach publicznych [MWh/rok].</w:t>
      </w:r>
      <w:r w:rsidRPr="00660D99">
        <w:t xml:space="preserve"> </w:t>
      </w:r>
    </w:p>
    <w:p w14:paraId="08132169" w14:textId="77777777" w:rsidR="0066573B" w:rsidRPr="00660D99" w:rsidRDefault="0066573B" w:rsidP="0066573B">
      <w:pPr>
        <w:spacing w:line="276" w:lineRule="auto"/>
        <w:jc w:val="both"/>
      </w:pPr>
      <w:r w:rsidRPr="00660D99">
        <w:t xml:space="preserve">W Szczegółowym Opisie Priorytetów FEŚ 2021-2027 </w:t>
      </w:r>
      <w:r>
        <w:t xml:space="preserve">(SZOP) </w:t>
      </w:r>
      <w:r w:rsidRPr="00660D99">
        <w:t>wskazane jest również, iż realizacja projektu musi w odniesieniu do każdego z budynków spowodować osiągnięcie co najmniej 30 %-owej poprawy efektywności energetycznej (oszczędność energii pierwotnej w stosunku do stanu przed realizacją).</w:t>
      </w:r>
    </w:p>
    <w:p w14:paraId="60F55F0E" w14:textId="77777777" w:rsidR="0066573B" w:rsidRPr="00660D99" w:rsidRDefault="0066573B" w:rsidP="0066573B">
      <w:pPr>
        <w:spacing w:line="276" w:lineRule="auto"/>
        <w:jc w:val="both"/>
      </w:pPr>
      <w:r w:rsidRPr="002C385D">
        <w:t>W załączniku nr 1 do</w:t>
      </w:r>
      <w:r>
        <w:rPr>
          <w:i/>
          <w:iCs/>
        </w:rPr>
        <w:t xml:space="preserve"> </w:t>
      </w:r>
      <w:r w:rsidRPr="002C385D">
        <w:rPr>
          <w:i/>
          <w:iCs/>
        </w:rPr>
        <w:t>Rozporządzeni</w:t>
      </w:r>
      <w:r>
        <w:rPr>
          <w:i/>
          <w:iCs/>
        </w:rPr>
        <w:t>a</w:t>
      </w:r>
      <w:r w:rsidRPr="002C385D">
        <w:rPr>
          <w:i/>
          <w:iCs/>
        </w:rPr>
        <w:t xml:space="preserve"> Ministra Infrastruktury i Rozwoju z dnia 27 lutego 2015 r. w sprawie metodologii wyznaczania charakterystyki energetycznej budynku lub części budynku oraz świadectw charakterystyki energetycznej</w:t>
      </w:r>
      <w:r>
        <w:rPr>
          <w:i/>
          <w:iCs/>
        </w:rPr>
        <w:t xml:space="preserve"> </w:t>
      </w:r>
      <w:r w:rsidRPr="00E30A55">
        <w:t xml:space="preserve">(Dz.U. 2015 poz. 376 z </w:t>
      </w:r>
      <w:proofErr w:type="spellStart"/>
      <w:r w:rsidRPr="00E30A55">
        <w:t>późn</w:t>
      </w:r>
      <w:proofErr w:type="spellEnd"/>
      <w:r w:rsidRPr="00E30A55">
        <w:t xml:space="preserve">. zm.) </w:t>
      </w:r>
      <w:r w:rsidRPr="00660D99">
        <w:lastRenderedPageBreak/>
        <w:t>roczne zapotrzebowanie na nieodnawialną energię pierwotną dla systemów technicznych Q p wyznacza się według poniższego wzoru:</w:t>
      </w:r>
    </w:p>
    <w:p w14:paraId="404C98D8" w14:textId="77777777" w:rsidR="0066573B" w:rsidRDefault="0066573B" w:rsidP="0066573B">
      <w:pPr>
        <w:spacing w:line="276" w:lineRule="auto"/>
        <w:jc w:val="both"/>
        <w:rPr>
          <w:i/>
          <w:iCs/>
        </w:rPr>
      </w:pPr>
    </w:p>
    <w:p w14:paraId="55905A81" w14:textId="77777777" w:rsidR="0066573B" w:rsidRDefault="0066573B" w:rsidP="0066573B">
      <w:pPr>
        <w:spacing w:line="276" w:lineRule="auto"/>
        <w:jc w:val="both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46A2C303" wp14:editId="6D203443">
            <wp:extent cx="5847080" cy="3152875"/>
            <wp:effectExtent l="0" t="0" r="1270" b="9525"/>
            <wp:docPr id="9043951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546" cy="3154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CDE02" w14:textId="77777777" w:rsidR="0066573B" w:rsidRDefault="0066573B" w:rsidP="0066573B">
      <w:pPr>
        <w:spacing w:line="276" w:lineRule="auto"/>
        <w:jc w:val="both"/>
        <w:rPr>
          <w:color w:val="FF0000"/>
        </w:rPr>
      </w:pPr>
    </w:p>
    <w:p w14:paraId="230DAFB8" w14:textId="77777777" w:rsidR="0066573B" w:rsidRPr="00055FEB" w:rsidRDefault="0066573B" w:rsidP="0066573B">
      <w:pPr>
        <w:spacing w:line="276" w:lineRule="auto"/>
        <w:jc w:val="both"/>
        <w:rPr>
          <w:b/>
          <w:bCs/>
          <w:i/>
          <w:iCs/>
        </w:rPr>
      </w:pPr>
      <w:r w:rsidRPr="00E30A55">
        <w:t xml:space="preserve">Ponadto </w:t>
      </w:r>
      <w:r w:rsidRPr="00E30A55">
        <w:rPr>
          <w:i/>
          <w:iCs/>
        </w:rPr>
        <w:t>Wzór świadectwa charakterystyki energetycznej budynku</w:t>
      </w:r>
      <w:r w:rsidRPr="00E30A55">
        <w:t xml:space="preserve"> będący załącznikiem nr 1 do</w:t>
      </w:r>
      <w:r w:rsidRPr="00660D99">
        <w:t xml:space="preserve"> </w:t>
      </w:r>
      <w:r w:rsidRPr="00660D99">
        <w:rPr>
          <w:i/>
          <w:iCs/>
        </w:rPr>
        <w:t>Rozporządzeni</w:t>
      </w:r>
      <w:r>
        <w:rPr>
          <w:i/>
          <w:iCs/>
        </w:rPr>
        <w:t>a</w:t>
      </w:r>
      <w:r w:rsidRPr="00660D99">
        <w:rPr>
          <w:i/>
          <w:iCs/>
        </w:rPr>
        <w:t xml:space="preserve"> Ministra Rozwoju i Technologii z dnia 28 marca 2023 r. zmieniające rozporządzenie w sprawie metodologii wyznaczania charakterystyki energetycznej budynku lub </w:t>
      </w:r>
      <w:r w:rsidRPr="00E30A55">
        <w:rPr>
          <w:i/>
          <w:iCs/>
        </w:rPr>
        <w:t>części budynku oraz świadectw charakterystyki energetycznej</w:t>
      </w:r>
      <w:r w:rsidRPr="00E30A55">
        <w:t xml:space="preserve"> (Dz.U. 2023 poz. 697) stanowi w przypisie nr 10, iż</w:t>
      </w:r>
      <w:r>
        <w:rPr>
          <w:i/>
          <w:iCs/>
        </w:rPr>
        <w:t xml:space="preserve"> </w:t>
      </w:r>
      <w:r w:rsidRPr="00E30A55">
        <w:rPr>
          <w:i/>
          <w:iCs/>
        </w:rPr>
        <w:t xml:space="preserve">Charakterystyka energetyczna budynku jest określana na podstawie </w:t>
      </w:r>
      <w:r w:rsidRPr="00836975">
        <w:rPr>
          <w:b/>
          <w:bCs/>
          <w:i/>
          <w:iCs/>
        </w:rPr>
        <w:t>porównania wskaźnika rocznego zapotrzebowania na nieodnawialną energię pierwotną EP</w:t>
      </w:r>
      <w:r w:rsidRPr="00E30A55">
        <w:rPr>
          <w:b/>
          <w:bCs/>
          <w:i/>
          <w:iCs/>
        </w:rPr>
        <w:t xml:space="preserve"> niezbędnego do zaspokojenia potrzeb energetycznych budynku w zakresie ogrzewania, wentylacji, chłodzenia, przygotowania ciepłej wody użytkowej i wbudowanej instalacji </w:t>
      </w:r>
      <w:r w:rsidRPr="00055FEB">
        <w:rPr>
          <w:b/>
          <w:bCs/>
          <w:i/>
          <w:iCs/>
        </w:rPr>
        <w:t>oświetlenia z maksymalną wartością wskaźnika EP wynikającą z przepisów techniczno-</w:t>
      </w:r>
    </w:p>
    <w:p w14:paraId="5F1AFA23" w14:textId="77777777" w:rsidR="0066573B" w:rsidRPr="00E30A55" w:rsidRDefault="0066573B" w:rsidP="0066573B">
      <w:pPr>
        <w:spacing w:line="276" w:lineRule="auto"/>
        <w:jc w:val="both"/>
        <w:rPr>
          <w:i/>
          <w:iCs/>
        </w:rPr>
      </w:pPr>
      <w:r w:rsidRPr="00055FEB">
        <w:rPr>
          <w:b/>
          <w:bCs/>
          <w:i/>
          <w:iCs/>
        </w:rPr>
        <w:t>-budowlanych</w:t>
      </w:r>
      <w:r w:rsidRPr="00E30A55">
        <w:rPr>
          <w:i/>
          <w:iCs/>
        </w:rPr>
        <w:t xml:space="preserve"> oraz porównania wartości współczynnika przenikania ciepła przegród U w budynku z maksymalną wartością współczynnika</w:t>
      </w:r>
      <w:r>
        <w:rPr>
          <w:i/>
          <w:iCs/>
        </w:rPr>
        <w:t xml:space="preserve"> </w:t>
      </w:r>
      <w:r w:rsidRPr="00E30A55">
        <w:rPr>
          <w:i/>
          <w:iCs/>
        </w:rPr>
        <w:t>wynikającą z przepisów techniczno-budowlanych. W przypadku budynku nowo wznoszonego uzyskane wartości wskaźnika EP oraz</w:t>
      </w:r>
    </w:p>
    <w:p w14:paraId="28FAF7D1" w14:textId="77777777" w:rsidR="0066573B" w:rsidRPr="00660D99" w:rsidRDefault="0066573B" w:rsidP="0066573B">
      <w:pPr>
        <w:spacing w:line="276" w:lineRule="auto"/>
        <w:jc w:val="both"/>
        <w:rPr>
          <w:i/>
          <w:iCs/>
        </w:rPr>
      </w:pPr>
      <w:r w:rsidRPr="00E30A55">
        <w:rPr>
          <w:i/>
          <w:iCs/>
        </w:rPr>
        <w:t>współczynników U nie powinny przekraczać wartości wynikających z przepisów techniczno-budowlanych. W przypadku budynku</w:t>
      </w:r>
      <w:r>
        <w:rPr>
          <w:i/>
          <w:iCs/>
        </w:rPr>
        <w:t xml:space="preserve"> </w:t>
      </w:r>
      <w:r w:rsidRPr="00E30A55">
        <w:rPr>
          <w:i/>
          <w:iCs/>
        </w:rPr>
        <w:t>podlegającego przebudowie jedynie wartości współczynników przenikania ciepła przegród U podlegających przebudowie nie powinny</w:t>
      </w:r>
      <w:r>
        <w:rPr>
          <w:i/>
          <w:iCs/>
        </w:rPr>
        <w:t xml:space="preserve"> </w:t>
      </w:r>
      <w:r w:rsidRPr="00E30A55">
        <w:rPr>
          <w:i/>
          <w:iCs/>
        </w:rPr>
        <w:t>przekraczać wartości wynikających z przepisów techniczno-budowlanych</w:t>
      </w:r>
      <w:r>
        <w:rPr>
          <w:i/>
          <w:iCs/>
        </w:rPr>
        <w:t>.</w:t>
      </w:r>
    </w:p>
    <w:p w14:paraId="3F01E45E" w14:textId="77777777" w:rsidR="0066573B" w:rsidRPr="00836975" w:rsidRDefault="0066573B" w:rsidP="0066573B">
      <w:pPr>
        <w:spacing w:line="276" w:lineRule="auto"/>
        <w:jc w:val="both"/>
      </w:pPr>
      <w:r>
        <w:t xml:space="preserve">Biorąc pod uwagę powyższe zapisy wynikające z obowiązujących przepisów prawa oraz zapisy zawarte w </w:t>
      </w:r>
      <w:r w:rsidRPr="00836975">
        <w:rPr>
          <w:i/>
          <w:iCs/>
        </w:rPr>
        <w:t>Regulaminie wyboru projektów</w:t>
      </w:r>
      <w:r w:rsidRPr="00E30A55">
        <w:t xml:space="preserve"> </w:t>
      </w:r>
      <w:r>
        <w:t xml:space="preserve">oraz </w:t>
      </w:r>
      <w:r w:rsidRPr="00055FEB">
        <w:rPr>
          <w:i/>
          <w:iCs/>
        </w:rPr>
        <w:t>SZOP</w:t>
      </w:r>
      <w:r>
        <w:t xml:space="preserve"> </w:t>
      </w:r>
      <w:r w:rsidRPr="00836975">
        <w:t xml:space="preserve">ocena </w:t>
      </w:r>
      <w:r>
        <w:t xml:space="preserve">wszystkich </w:t>
      </w:r>
      <w:r w:rsidRPr="00836975">
        <w:t xml:space="preserve">projektów </w:t>
      </w:r>
      <w:r>
        <w:t xml:space="preserve">w zakresie </w:t>
      </w:r>
      <w:r w:rsidRPr="00836975">
        <w:rPr>
          <w:i/>
          <w:iCs/>
        </w:rPr>
        <w:t>Kryterium merytorycznego dopuszczającego specyficznego nr 5</w:t>
      </w:r>
      <w:r w:rsidRPr="00836975">
        <w:t xml:space="preserve"> zostanie przeprowadzona </w:t>
      </w:r>
      <w:r>
        <w:br/>
      </w:r>
      <w:r w:rsidRPr="00836975">
        <w:t>w odniesieniu do oszczędności całkowitej energii pierwotnej.</w:t>
      </w:r>
    </w:p>
    <w:p w14:paraId="265F6C4B" w14:textId="77777777" w:rsidR="00554811" w:rsidRDefault="00554811" w:rsidP="00554811">
      <w:pPr>
        <w:spacing w:after="160" w:line="276" w:lineRule="auto"/>
        <w:jc w:val="both"/>
        <w:rPr>
          <w:b/>
          <w:bCs/>
          <w:highlight w:val="green"/>
          <w:u w:val="single"/>
        </w:rPr>
      </w:pPr>
    </w:p>
    <w:p w14:paraId="1A6F6DAC" w14:textId="77777777" w:rsidR="0066573B" w:rsidRDefault="0066573B" w:rsidP="00554811">
      <w:pPr>
        <w:spacing w:after="160" w:line="276" w:lineRule="auto"/>
        <w:jc w:val="both"/>
        <w:rPr>
          <w:b/>
          <w:bCs/>
          <w:highlight w:val="green"/>
          <w:u w:val="single"/>
        </w:rPr>
      </w:pPr>
    </w:p>
    <w:p w14:paraId="0736AC1C" w14:textId="77777777" w:rsidR="0066573B" w:rsidRDefault="0066573B" w:rsidP="00554811">
      <w:pPr>
        <w:spacing w:after="160" w:line="276" w:lineRule="auto"/>
        <w:jc w:val="both"/>
        <w:rPr>
          <w:b/>
          <w:bCs/>
          <w:highlight w:val="green"/>
          <w:u w:val="single"/>
        </w:rPr>
      </w:pPr>
    </w:p>
    <w:p w14:paraId="6BF5F1EC" w14:textId="3FCF1A74" w:rsidR="00554811" w:rsidRPr="007A05CD" w:rsidRDefault="00554811" w:rsidP="00554811">
      <w:pPr>
        <w:spacing w:after="160" w:line="276" w:lineRule="auto"/>
        <w:jc w:val="both"/>
        <w:rPr>
          <w:b/>
          <w:bCs/>
          <w:u w:val="single"/>
        </w:rPr>
      </w:pPr>
      <w:r>
        <w:rPr>
          <w:b/>
          <w:bCs/>
          <w:highlight w:val="green"/>
          <w:u w:val="single"/>
        </w:rPr>
        <w:lastRenderedPageBreak/>
        <w:t>08.11</w:t>
      </w:r>
      <w:r w:rsidRPr="002777F5">
        <w:rPr>
          <w:b/>
          <w:bCs/>
          <w:highlight w:val="green"/>
          <w:u w:val="single"/>
        </w:rPr>
        <w:t>.2024:</w:t>
      </w:r>
    </w:p>
    <w:p w14:paraId="554ED26F" w14:textId="77777777" w:rsidR="00554811" w:rsidRDefault="00554811" w:rsidP="00554811">
      <w:pPr>
        <w:spacing w:after="160" w:line="276" w:lineRule="auto"/>
        <w:jc w:val="both"/>
        <w:rPr>
          <w:i/>
          <w:iCs/>
        </w:rPr>
      </w:pPr>
      <w:r w:rsidRPr="00DA2018">
        <w:rPr>
          <w:i/>
          <w:iCs/>
          <w:u w:val="single"/>
        </w:rPr>
        <w:t>Pytanie 1</w:t>
      </w:r>
      <w:r>
        <w:rPr>
          <w:i/>
          <w:iCs/>
        </w:rPr>
        <w:t>:</w:t>
      </w:r>
      <w:r w:rsidRPr="007A05CD">
        <w:rPr>
          <w:i/>
          <w:iCs/>
        </w:rPr>
        <w:t xml:space="preserve"> </w:t>
      </w:r>
    </w:p>
    <w:p w14:paraId="4BEBD526" w14:textId="77777777" w:rsidR="00554811" w:rsidRPr="00865B43" w:rsidRDefault="00554811" w:rsidP="00554811">
      <w:pPr>
        <w:spacing w:after="160" w:line="276" w:lineRule="auto"/>
        <w:jc w:val="both"/>
      </w:pPr>
      <w:r w:rsidRPr="00865B43">
        <w:t>W związku z ogłoszonym naborem o numerze FESW.02.01-IZ.00-001/24 zwracam się z uprzejmą prośbą o udzielenie przez Państwa informacji dotyczącej wielkości średniej arytmetycznej dla województwa świętokrzyskiego wskaźnika dochodów podatkowych, ponieważ na stronie internetowej Ministerstwa Finansów można znaleźć informacje dotyczące wielkości wskaźnika G dla poszczególnych gmin w kraju, nie ma natomiast takich danych, jak średnia arytmetyczna dla poszczególnych województw. Takiej informacji nie mogę również znaleźć w regulaminie ogłoszonego naboru, co sprawia, że nie mogę sprawić, czy nasza jednostka spełnia kryteria merytoryczne i może przystąpić do aplikowania w ogłoszonym naborze. Bardzo proszę o pilną odpowiedź.</w:t>
      </w:r>
    </w:p>
    <w:p w14:paraId="315CF111" w14:textId="77777777" w:rsidR="00554811" w:rsidRDefault="00554811" w:rsidP="00554811">
      <w:pPr>
        <w:spacing w:after="160" w:line="276" w:lineRule="auto"/>
        <w:jc w:val="both"/>
        <w:rPr>
          <w:u w:val="single"/>
        </w:rPr>
      </w:pPr>
      <w:r w:rsidRPr="006937F9">
        <w:rPr>
          <w:u w:val="single"/>
        </w:rPr>
        <w:t>Odpowiedź:</w:t>
      </w:r>
    </w:p>
    <w:p w14:paraId="5598DFFB" w14:textId="77777777" w:rsidR="00554811" w:rsidRDefault="00554811" w:rsidP="00554811">
      <w:pPr>
        <w:spacing w:line="276" w:lineRule="auto"/>
        <w:jc w:val="both"/>
        <w:rPr>
          <w:i/>
          <w:iCs/>
        </w:rPr>
      </w:pPr>
      <w:r>
        <w:t xml:space="preserve">Niniejsze informacje znajdują się w punkcie </w:t>
      </w:r>
      <w:bookmarkStart w:id="1" w:name="_Hlk181957773"/>
      <w:r>
        <w:t xml:space="preserve">3.15 </w:t>
      </w:r>
      <w:r w:rsidRPr="00C76593">
        <w:rPr>
          <w:i/>
          <w:iCs/>
        </w:rPr>
        <w:t>Regulaminu</w:t>
      </w:r>
      <w:r>
        <w:rPr>
          <w:i/>
          <w:iCs/>
        </w:rPr>
        <w:t xml:space="preserve"> </w:t>
      </w:r>
      <w:bookmarkEnd w:id="1"/>
      <w:r>
        <w:rPr>
          <w:i/>
          <w:iCs/>
        </w:rPr>
        <w:t>wyboru projektów:</w:t>
      </w:r>
    </w:p>
    <w:p w14:paraId="64D592F9" w14:textId="77777777" w:rsidR="00554811" w:rsidRDefault="00554811" w:rsidP="00554811">
      <w:pPr>
        <w:spacing w:line="276" w:lineRule="auto"/>
        <w:jc w:val="both"/>
      </w:pPr>
      <w:r>
        <w:t>„Na</w:t>
      </w:r>
      <w:r w:rsidRPr="00865B43">
        <w:rPr>
          <w:i/>
          <w:iCs/>
        </w:rPr>
        <w:t xml:space="preserve"> podstawie wartości wskaźnika dochodów podatkowych w przeliczeniu na jednego mieszkańca dla poszczególnych gmin województwa świętokrzyskiego (wskaźnik G) ustalono jego wartość uśrednioną dla województwa na 2024 rok, która wynosi </w:t>
      </w:r>
      <w:r w:rsidRPr="00865B43">
        <w:rPr>
          <w:b/>
          <w:bCs/>
          <w:i/>
          <w:iCs/>
        </w:rPr>
        <w:t>1 682,42</w:t>
      </w:r>
      <w:r w:rsidRPr="00865B43">
        <w:rPr>
          <w:i/>
          <w:iCs/>
        </w:rPr>
        <w:t xml:space="preserve"> zł (średnia arytmetyczna).”</w:t>
      </w:r>
    </w:p>
    <w:p w14:paraId="70743EC9" w14:textId="77777777" w:rsidR="00554811" w:rsidRPr="00AD1499" w:rsidRDefault="00554811" w:rsidP="00554811">
      <w:pPr>
        <w:spacing w:line="276" w:lineRule="auto"/>
        <w:jc w:val="both"/>
      </w:pPr>
      <w:r w:rsidRPr="00AD1499">
        <w:t xml:space="preserve">Wielkości wskaźnika G dla poszczególnych gmin z terenu województwa świętokrzyskiego zostały zsumowane, a następnie wynik został podzielony przez liczbę gmin – 102 szt., co dało średnią arytmetyczną dla województwa na poziomie 1 682,42 zł. </w:t>
      </w:r>
    </w:p>
    <w:p w14:paraId="3699872D" w14:textId="77777777" w:rsidR="00554811" w:rsidRDefault="00554811" w:rsidP="00554811">
      <w:pPr>
        <w:spacing w:line="276" w:lineRule="auto"/>
        <w:jc w:val="both"/>
      </w:pPr>
      <w:r>
        <w:t xml:space="preserve">W dalszej części punktu </w:t>
      </w:r>
      <w:r w:rsidRPr="00D43EE7">
        <w:t>3.15 Regulamin</w:t>
      </w:r>
      <w:r>
        <w:t xml:space="preserve">u przedstawiono zestawienie tabelaryczne gmin </w:t>
      </w:r>
      <w:r>
        <w:br/>
        <w:t>z terenu województwa świętokrzyskiego o wartości wskaźnika dochodów G niższej od uśrednionej wartości dla regionu.</w:t>
      </w:r>
    </w:p>
    <w:p w14:paraId="3AE3A164" w14:textId="77777777" w:rsidR="00554811" w:rsidRDefault="00554811" w:rsidP="00554811">
      <w:pPr>
        <w:spacing w:line="276" w:lineRule="auto"/>
        <w:jc w:val="both"/>
      </w:pPr>
    </w:p>
    <w:p w14:paraId="0C2D7A98" w14:textId="10EDB393" w:rsidR="0018155D" w:rsidRDefault="0018155D" w:rsidP="0018155D">
      <w:pPr>
        <w:spacing w:after="160" w:line="276" w:lineRule="auto"/>
        <w:jc w:val="both"/>
        <w:rPr>
          <w:i/>
          <w:iCs/>
        </w:rPr>
      </w:pPr>
      <w:r w:rsidRPr="00DA2018">
        <w:rPr>
          <w:i/>
          <w:iCs/>
          <w:u w:val="single"/>
        </w:rPr>
        <w:t xml:space="preserve">Pytanie </w:t>
      </w:r>
      <w:r>
        <w:rPr>
          <w:i/>
          <w:iCs/>
          <w:u w:val="single"/>
        </w:rPr>
        <w:t>2</w:t>
      </w:r>
      <w:r>
        <w:rPr>
          <w:i/>
          <w:iCs/>
        </w:rPr>
        <w:t>:</w:t>
      </w:r>
      <w:r w:rsidRPr="007A05CD">
        <w:rPr>
          <w:i/>
          <w:iCs/>
        </w:rPr>
        <w:t xml:space="preserve"> </w:t>
      </w:r>
    </w:p>
    <w:p w14:paraId="47C4CC3F" w14:textId="77777777" w:rsidR="0018155D" w:rsidRPr="00E329ED" w:rsidRDefault="0018155D" w:rsidP="0018155D">
      <w:pPr>
        <w:spacing w:after="160" w:line="276" w:lineRule="auto"/>
        <w:jc w:val="both"/>
        <w:rPr>
          <w:i/>
          <w:iCs/>
        </w:rPr>
      </w:pPr>
      <w:r w:rsidRPr="008829D9">
        <w:rPr>
          <w:i/>
          <w:iCs/>
        </w:rPr>
        <w:t xml:space="preserve">Czy na etapie oceny formalnej będzie można uzupełnić wniosek o załączniki: w szczególności Beneficjent ma tutaj na uwadze następujące: kosztorys inwestorski, program </w:t>
      </w:r>
      <w:proofErr w:type="spellStart"/>
      <w:r w:rsidRPr="008829D9">
        <w:rPr>
          <w:i/>
          <w:iCs/>
        </w:rPr>
        <w:t>funkcjonalno</w:t>
      </w:r>
      <w:proofErr w:type="spellEnd"/>
      <w:r w:rsidRPr="008829D9">
        <w:rPr>
          <w:i/>
          <w:iCs/>
        </w:rPr>
        <w:t xml:space="preserve"> - użytkowy. </w:t>
      </w:r>
    </w:p>
    <w:p w14:paraId="63DC5B1C" w14:textId="77777777" w:rsidR="0018155D" w:rsidRDefault="0018155D" w:rsidP="0018155D">
      <w:pPr>
        <w:spacing w:after="160" w:line="276" w:lineRule="auto"/>
        <w:jc w:val="both"/>
        <w:rPr>
          <w:u w:val="single"/>
        </w:rPr>
      </w:pPr>
      <w:r w:rsidRPr="008829D9">
        <w:rPr>
          <w:u w:val="single"/>
        </w:rPr>
        <w:t>Odpowiedź:</w:t>
      </w:r>
    </w:p>
    <w:p w14:paraId="17A0334A" w14:textId="77777777" w:rsidR="0018155D" w:rsidRDefault="0018155D" w:rsidP="0018155D">
      <w:pPr>
        <w:spacing w:line="276" w:lineRule="auto"/>
        <w:jc w:val="both"/>
        <w:rPr>
          <w:i/>
          <w:iCs/>
        </w:rPr>
      </w:pPr>
      <w:r>
        <w:t xml:space="preserve">Niniejsze informacje znajdują się w punkcie 9.11 </w:t>
      </w:r>
      <w:r w:rsidRPr="00C76593">
        <w:rPr>
          <w:i/>
          <w:iCs/>
        </w:rPr>
        <w:t>Regulaminu</w:t>
      </w:r>
      <w:r>
        <w:rPr>
          <w:i/>
          <w:iCs/>
        </w:rPr>
        <w:t xml:space="preserve"> wyboru projektów:</w:t>
      </w:r>
    </w:p>
    <w:p w14:paraId="77DC69DB" w14:textId="77777777" w:rsidR="0018155D" w:rsidRDefault="0018155D" w:rsidP="0018155D">
      <w:pPr>
        <w:spacing w:after="160" w:line="276" w:lineRule="auto"/>
        <w:jc w:val="both"/>
      </w:pPr>
      <w:r w:rsidRPr="00BC5DF2">
        <w:t>„9.11</w:t>
      </w:r>
      <w:r w:rsidRPr="00BC5DF2">
        <w:tab/>
        <w:t>Wraz z wnioskiem o dofinansowanie wymagane jest złożenie załączników, których wykaz podano w pkt. 19.1 niniejszego regulaminu. Wskazane załączniki, poprawnie wypełnione oraz podpisane elektronicznym podpisem kwalifikowanym Wnioskodawca zobowiązany będzie załączyć najpóźniej na etapie składania dokumentów w odpowiedzi na wezwanie do poprawy na etapie oceny spełnienia kryteriów formalnych. Konsekwencje niedochowania tego warunku opisane zostały w punkcie 10.7a niniejszego regulaminu.”</w:t>
      </w:r>
    </w:p>
    <w:p w14:paraId="5DD5FDCD" w14:textId="77777777" w:rsidR="0018155D" w:rsidRPr="008829D9" w:rsidRDefault="0018155D" w:rsidP="0018155D">
      <w:pPr>
        <w:spacing w:after="160" w:line="276" w:lineRule="auto"/>
        <w:jc w:val="both"/>
      </w:pPr>
      <w:r>
        <w:t xml:space="preserve">Lista dokumentów jakie należy przedłożyć wraz z wnioskiem o dofinansowanie oraz termin ich przedłożenia zamieszczone są w punkcie 19.1 </w:t>
      </w:r>
      <w:r w:rsidRPr="00C76593">
        <w:rPr>
          <w:i/>
          <w:iCs/>
        </w:rPr>
        <w:t>Regulaminu</w:t>
      </w:r>
      <w:r>
        <w:rPr>
          <w:i/>
          <w:iCs/>
        </w:rPr>
        <w:t xml:space="preserve"> wyboru projektów.</w:t>
      </w:r>
    </w:p>
    <w:p w14:paraId="6FC5DDF8" w14:textId="77777777" w:rsidR="0018155D" w:rsidRDefault="0018155D" w:rsidP="0018155D">
      <w:pPr>
        <w:spacing w:after="160" w:line="276" w:lineRule="auto"/>
        <w:jc w:val="both"/>
        <w:rPr>
          <w:i/>
          <w:iCs/>
          <w:u w:val="single"/>
        </w:rPr>
      </w:pPr>
    </w:p>
    <w:p w14:paraId="75769C6D" w14:textId="44579A43" w:rsidR="0018155D" w:rsidRPr="00BC5DF2" w:rsidRDefault="0018155D" w:rsidP="0018155D">
      <w:pPr>
        <w:spacing w:after="160" w:line="276" w:lineRule="auto"/>
        <w:jc w:val="both"/>
        <w:rPr>
          <w:i/>
          <w:iCs/>
          <w:u w:val="single"/>
        </w:rPr>
      </w:pPr>
      <w:r w:rsidRPr="00BC5DF2">
        <w:rPr>
          <w:i/>
          <w:iCs/>
          <w:u w:val="single"/>
        </w:rPr>
        <w:lastRenderedPageBreak/>
        <w:t xml:space="preserve">Pytanie </w:t>
      </w:r>
      <w:r>
        <w:rPr>
          <w:i/>
          <w:iCs/>
          <w:u w:val="single"/>
        </w:rPr>
        <w:t>3</w:t>
      </w:r>
      <w:r w:rsidRPr="00BC5DF2">
        <w:rPr>
          <w:i/>
          <w:iCs/>
          <w:u w:val="single"/>
        </w:rPr>
        <w:t>:</w:t>
      </w:r>
    </w:p>
    <w:p w14:paraId="625C0492" w14:textId="77777777" w:rsidR="0018155D" w:rsidRPr="008829D9" w:rsidRDefault="0018155D" w:rsidP="0018155D">
      <w:pPr>
        <w:spacing w:after="160" w:line="276" w:lineRule="auto"/>
        <w:jc w:val="both"/>
        <w:rPr>
          <w:i/>
          <w:iCs/>
        </w:rPr>
      </w:pPr>
      <w:r w:rsidRPr="008829D9">
        <w:rPr>
          <w:i/>
          <w:iCs/>
        </w:rPr>
        <w:t>Jeśli budynek planowany do termomodernizacji jest udostępniany odpłatnie okazjonalnie (np. świetlica wiejska na przyjęcia komunijne, opłaty za udostępnienie są niewielkie, do opłaty wliczane są koszty zużytych mediów), to w jaki sposób obliczyć 20% całkowitej rocznej wydajności infrastruktury danego podmiotu. Czy takim wskaźnikiem może być np. czas wynajmu w skali roku?</w:t>
      </w:r>
    </w:p>
    <w:p w14:paraId="7F28425B" w14:textId="77777777" w:rsidR="0018155D" w:rsidRDefault="0018155D" w:rsidP="0018155D">
      <w:pPr>
        <w:spacing w:after="160" w:line="276" w:lineRule="auto"/>
        <w:jc w:val="both"/>
        <w:rPr>
          <w:u w:val="single"/>
        </w:rPr>
      </w:pPr>
      <w:r w:rsidRPr="006937F9">
        <w:rPr>
          <w:u w:val="single"/>
        </w:rPr>
        <w:t>Odpowiedź:</w:t>
      </w:r>
    </w:p>
    <w:p w14:paraId="46869DC9" w14:textId="77777777" w:rsidR="0018155D" w:rsidRDefault="0018155D" w:rsidP="0018155D">
      <w:pPr>
        <w:spacing w:line="276" w:lineRule="auto"/>
        <w:jc w:val="both"/>
      </w:pPr>
      <w:r>
        <w:t>Użytkowanie infrastruktury do celów gospodarczych można uznać za działalność pomocniczą jeżeli wydajność przydzielana co roku na taką działalność nie przekracza 20% rocznej całkowitej wydajności infrastruktury.</w:t>
      </w:r>
    </w:p>
    <w:p w14:paraId="35600442" w14:textId="77777777" w:rsidR="0018155D" w:rsidRDefault="0018155D" w:rsidP="0018155D">
      <w:pPr>
        <w:spacing w:line="276" w:lineRule="auto"/>
        <w:jc w:val="both"/>
      </w:pPr>
      <w:r>
        <w:t xml:space="preserve">W myśl punktu 5.11 </w:t>
      </w:r>
      <w:r w:rsidRPr="00E329ED">
        <w:rPr>
          <w:i/>
          <w:iCs/>
        </w:rPr>
        <w:t>Regulaminu wyboru projektów</w:t>
      </w:r>
      <w:r>
        <w:t>:</w:t>
      </w:r>
    </w:p>
    <w:p w14:paraId="3F902275" w14:textId="77777777" w:rsidR="0018155D" w:rsidRPr="00070E23" w:rsidRDefault="0018155D" w:rsidP="0018155D">
      <w:pPr>
        <w:spacing w:after="160" w:line="276" w:lineRule="auto"/>
        <w:jc w:val="both"/>
      </w:pPr>
      <w:r>
        <w:t>„</w:t>
      </w:r>
      <w:bookmarkStart w:id="2" w:name="_Hlk172631897"/>
      <w:r w:rsidRPr="00070E23">
        <w:t xml:space="preserve">W przypadku projektu nieobjętego pomocą publiczną, jeżeli Wnioskodawca prowadzi niemal wyłącznie działalność niegospodarczą, jej finansowanie może być w całości nieobjęte zasadami pomocy państwa, pod warunkiem że jego działalność gospodarcza ma charakter czysto pomocniczy, to jest: </w:t>
      </w:r>
    </w:p>
    <w:p w14:paraId="1786AB1D" w14:textId="77777777" w:rsidR="0018155D" w:rsidRPr="00070E23" w:rsidRDefault="0018155D" w:rsidP="0018155D">
      <w:pPr>
        <w:pStyle w:val="Akapitzlist"/>
        <w:numPr>
          <w:ilvl w:val="0"/>
          <w:numId w:val="11"/>
        </w:numPr>
        <w:spacing w:after="160" w:line="276" w:lineRule="auto"/>
        <w:jc w:val="both"/>
      </w:pPr>
      <w:r w:rsidRPr="00070E23">
        <w:t xml:space="preserve">odpowiada działalności, która jest bezpośrednio związana z funkcjonowaniem danego podmiotu i konieczna do jego funkcjonowania, </w:t>
      </w:r>
    </w:p>
    <w:p w14:paraId="245F2B63" w14:textId="77777777" w:rsidR="0018155D" w:rsidRPr="00070E23" w:rsidRDefault="0018155D" w:rsidP="0018155D">
      <w:pPr>
        <w:pStyle w:val="Akapitzlist"/>
        <w:numPr>
          <w:ilvl w:val="0"/>
          <w:numId w:val="11"/>
        </w:numPr>
        <w:spacing w:after="160" w:line="276" w:lineRule="auto"/>
        <w:jc w:val="both"/>
      </w:pPr>
      <w:r w:rsidRPr="00070E23">
        <w:t>jest nieodłącznie związana z jego główną działalnością niegospodarczą,</w:t>
      </w:r>
    </w:p>
    <w:p w14:paraId="7210431D" w14:textId="77777777" w:rsidR="0018155D" w:rsidRPr="00070E23" w:rsidRDefault="0018155D" w:rsidP="0018155D">
      <w:pPr>
        <w:pStyle w:val="Akapitzlist"/>
        <w:numPr>
          <w:ilvl w:val="0"/>
          <w:numId w:val="11"/>
        </w:numPr>
        <w:spacing w:after="160" w:line="276" w:lineRule="auto"/>
        <w:jc w:val="both"/>
      </w:pPr>
      <w:r w:rsidRPr="00070E23">
        <w:t xml:space="preserve">ma ograniczony zakres w odniesieniu do wydajności infrastruktury. </w:t>
      </w:r>
    </w:p>
    <w:p w14:paraId="74EB9AAE" w14:textId="77777777" w:rsidR="0018155D" w:rsidRPr="00070E23" w:rsidRDefault="0018155D" w:rsidP="0018155D">
      <w:pPr>
        <w:spacing w:line="276" w:lineRule="auto"/>
        <w:jc w:val="both"/>
      </w:pPr>
      <w:r w:rsidRPr="00070E23">
        <w:t>Wyżej wskazana sytuacja ma miejsce, gdy w ramach działalności gospodarczej wykorzystuje się dokładnie te same nakłady co w przypadku działalności niegospodarczej (na przykład materiały, wyposażenie, siłę roboczą i aktywa trwałe) oraz gdy wydajność przydzielana co roku na taką działalność nie przekracza 20% całkowitej rocznej wydajności infrastruktury danego podmiotu</w:t>
      </w:r>
      <w:bookmarkEnd w:id="2"/>
      <w:r w:rsidRPr="00070E23">
        <w:t>.</w:t>
      </w:r>
      <w:r>
        <w:t>”</w:t>
      </w:r>
    </w:p>
    <w:p w14:paraId="0D99FBD3" w14:textId="77777777" w:rsidR="0018155D" w:rsidRDefault="0018155D" w:rsidP="0018155D">
      <w:pPr>
        <w:spacing w:line="276" w:lineRule="auto"/>
        <w:jc w:val="both"/>
      </w:pPr>
      <w:r>
        <w:t>Aby jednak zakwalifikować koszty do dofinansowani, należy mieć na uwadze zapisy punktu 7.9 k, które mówią, iż kosztami niekwalifikowalnymi są:</w:t>
      </w:r>
    </w:p>
    <w:p w14:paraId="675E95CE" w14:textId="77777777" w:rsidR="0018155D" w:rsidRDefault="0018155D" w:rsidP="0018155D">
      <w:pPr>
        <w:spacing w:line="276" w:lineRule="auto"/>
        <w:jc w:val="both"/>
      </w:pPr>
      <w:r>
        <w:t>„</w:t>
      </w:r>
      <w:r w:rsidRPr="00E329ED">
        <w:t xml:space="preserve">Koszty termomodernizacji powierzchni w budynkach użyteczności publicznej w części przeznaczonej na prowadzenie działalności gospodarczej zgodnie z ustawą z 6 marca 2018 roku Prawo przedsiębiorców (powierzchnie najmowane, użyczane, dzierżawione),  </w:t>
      </w:r>
      <w:r w:rsidRPr="00E329ED">
        <w:rPr>
          <w:b/>
          <w:bCs/>
        </w:rPr>
        <w:t xml:space="preserve">za wyjątkiem wydatków związanych z termomodernizacją powierzchni w budynkach użyteczności publicznej pozostających w dyspozycji podmiotów publicznych, w których obok głównej działalności prowadzonej przez podmioty publiczne prowadzona jest działalność gospodarcza </w:t>
      </w:r>
      <w:r w:rsidRPr="00E329ED">
        <w:rPr>
          <w:b/>
          <w:bCs/>
          <w:u w:val="single"/>
        </w:rPr>
        <w:t>o charakterze pomocniczym/uzupełniającym</w:t>
      </w:r>
      <w:r w:rsidRPr="00E329ED">
        <w:rPr>
          <w:b/>
          <w:bCs/>
        </w:rPr>
        <w:t xml:space="preserve"> w stosunku do głównej funkcji budynku</w:t>
      </w:r>
      <w:r w:rsidRPr="00E329ED">
        <w:t xml:space="preserve">  (taka jak: okazjonalny wynajem powierzchni; zajmujące nie więcej niż 20% powierzchni użytkowej budynku małe sklepiki, małe punkty gastronomiczne, małe punkty usługowe, zlokalizowane w budynkach publicznych, których główną funkcją jest prowadzenie działalności niegospodarczej).</w:t>
      </w:r>
    </w:p>
    <w:p w14:paraId="31F2FB20" w14:textId="77777777" w:rsidR="001B6E06" w:rsidRDefault="001B6E06" w:rsidP="00FA0A6E">
      <w:pPr>
        <w:spacing w:line="276" w:lineRule="auto"/>
        <w:jc w:val="both"/>
      </w:pPr>
    </w:p>
    <w:sectPr w:rsidR="001B6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F88F7" w14:textId="77777777" w:rsidR="00317FF8" w:rsidRDefault="00317FF8" w:rsidP="00317FF8">
      <w:pPr>
        <w:spacing w:line="240" w:lineRule="auto"/>
      </w:pPr>
      <w:r>
        <w:separator/>
      </w:r>
    </w:p>
  </w:endnote>
  <w:endnote w:type="continuationSeparator" w:id="0">
    <w:p w14:paraId="5513AAAB" w14:textId="77777777" w:rsidR="00317FF8" w:rsidRDefault="00317FF8" w:rsidP="00317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029AA" w14:textId="77777777" w:rsidR="00317FF8" w:rsidRDefault="00317FF8" w:rsidP="00317FF8">
      <w:pPr>
        <w:spacing w:line="240" w:lineRule="auto"/>
      </w:pPr>
      <w:r>
        <w:separator/>
      </w:r>
    </w:p>
  </w:footnote>
  <w:footnote w:type="continuationSeparator" w:id="0">
    <w:p w14:paraId="28E908C4" w14:textId="77777777" w:rsidR="00317FF8" w:rsidRDefault="00317FF8" w:rsidP="00317F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216F"/>
    <w:multiLevelType w:val="hybridMultilevel"/>
    <w:tmpl w:val="8E443BEC"/>
    <w:lvl w:ilvl="0" w:tplc="C9A434D0">
      <w:start w:val="1"/>
      <w:numFmt w:val="bullet"/>
      <w:lvlText w:val=""/>
      <w:lvlJc w:val="left"/>
      <w:pPr>
        <w:ind w:left="16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" w15:restartNumberingAfterBreak="0">
    <w:nsid w:val="0A3714D8"/>
    <w:multiLevelType w:val="multilevel"/>
    <w:tmpl w:val="B30A28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4962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DE166A"/>
    <w:multiLevelType w:val="hybridMultilevel"/>
    <w:tmpl w:val="508807C6"/>
    <w:lvl w:ilvl="0" w:tplc="C9A43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26909"/>
    <w:multiLevelType w:val="hybridMultilevel"/>
    <w:tmpl w:val="F1BC5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97339"/>
    <w:multiLevelType w:val="hybridMultilevel"/>
    <w:tmpl w:val="5EC2BC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FE6D63"/>
    <w:multiLevelType w:val="hybridMultilevel"/>
    <w:tmpl w:val="DC240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95DB3"/>
    <w:multiLevelType w:val="hybridMultilevel"/>
    <w:tmpl w:val="DB6EA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46666"/>
    <w:multiLevelType w:val="hybridMultilevel"/>
    <w:tmpl w:val="5F0C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820E2"/>
    <w:multiLevelType w:val="hybridMultilevel"/>
    <w:tmpl w:val="A7C6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5D60"/>
    <w:multiLevelType w:val="hybridMultilevel"/>
    <w:tmpl w:val="74708AB6"/>
    <w:lvl w:ilvl="0" w:tplc="C9A43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97943"/>
    <w:multiLevelType w:val="hybridMultilevel"/>
    <w:tmpl w:val="47D40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0714">
    <w:abstractNumId w:val="7"/>
  </w:num>
  <w:num w:numId="2" w16cid:durableId="1789348198">
    <w:abstractNumId w:val="10"/>
  </w:num>
  <w:num w:numId="3" w16cid:durableId="125661022">
    <w:abstractNumId w:val="3"/>
  </w:num>
  <w:num w:numId="4" w16cid:durableId="247813069">
    <w:abstractNumId w:val="1"/>
  </w:num>
  <w:num w:numId="5" w16cid:durableId="13945015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1699050">
    <w:abstractNumId w:val="2"/>
  </w:num>
  <w:num w:numId="7" w16cid:durableId="2003005649">
    <w:abstractNumId w:val="0"/>
  </w:num>
  <w:num w:numId="8" w16cid:durableId="938105357">
    <w:abstractNumId w:val="5"/>
  </w:num>
  <w:num w:numId="9" w16cid:durableId="944774435">
    <w:abstractNumId w:val="8"/>
  </w:num>
  <w:num w:numId="10" w16cid:durableId="331377510">
    <w:abstractNumId w:val="9"/>
  </w:num>
  <w:num w:numId="11" w16cid:durableId="1160806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98"/>
    <w:rsid w:val="00005E7E"/>
    <w:rsid w:val="00035679"/>
    <w:rsid w:val="00042AD5"/>
    <w:rsid w:val="00083A73"/>
    <w:rsid w:val="00090387"/>
    <w:rsid w:val="000937FA"/>
    <w:rsid w:val="000A701C"/>
    <w:rsid w:val="000E4BC0"/>
    <w:rsid w:val="00103E6C"/>
    <w:rsid w:val="0014064B"/>
    <w:rsid w:val="001719B6"/>
    <w:rsid w:val="001761AA"/>
    <w:rsid w:val="0018155D"/>
    <w:rsid w:val="00187B0E"/>
    <w:rsid w:val="001B6E06"/>
    <w:rsid w:val="001C0B76"/>
    <w:rsid w:val="001D500D"/>
    <w:rsid w:val="001E0390"/>
    <w:rsid w:val="001E05D6"/>
    <w:rsid w:val="001E0B66"/>
    <w:rsid w:val="00227A5A"/>
    <w:rsid w:val="00233CDA"/>
    <w:rsid w:val="00257289"/>
    <w:rsid w:val="002777F5"/>
    <w:rsid w:val="002A7C40"/>
    <w:rsid w:val="002D2A43"/>
    <w:rsid w:val="002D3717"/>
    <w:rsid w:val="00317FF8"/>
    <w:rsid w:val="003256B3"/>
    <w:rsid w:val="0037068B"/>
    <w:rsid w:val="003740AB"/>
    <w:rsid w:val="003829F7"/>
    <w:rsid w:val="0038444D"/>
    <w:rsid w:val="00413633"/>
    <w:rsid w:val="00435E48"/>
    <w:rsid w:val="00452363"/>
    <w:rsid w:val="00456680"/>
    <w:rsid w:val="0049327E"/>
    <w:rsid w:val="004966F7"/>
    <w:rsid w:val="004A30D6"/>
    <w:rsid w:val="004B46E6"/>
    <w:rsid w:val="004C402D"/>
    <w:rsid w:val="004D520F"/>
    <w:rsid w:val="004E4979"/>
    <w:rsid w:val="004F0CCE"/>
    <w:rsid w:val="00505097"/>
    <w:rsid w:val="0055108E"/>
    <w:rsid w:val="00554811"/>
    <w:rsid w:val="00570E05"/>
    <w:rsid w:val="00581C33"/>
    <w:rsid w:val="005A3708"/>
    <w:rsid w:val="005B531A"/>
    <w:rsid w:val="005D60A2"/>
    <w:rsid w:val="005E1E10"/>
    <w:rsid w:val="00634396"/>
    <w:rsid w:val="0066573B"/>
    <w:rsid w:val="00693512"/>
    <w:rsid w:val="006937F9"/>
    <w:rsid w:val="00696951"/>
    <w:rsid w:val="00696E8E"/>
    <w:rsid w:val="00697270"/>
    <w:rsid w:val="00720AA5"/>
    <w:rsid w:val="00735E8F"/>
    <w:rsid w:val="00774922"/>
    <w:rsid w:val="007A05CD"/>
    <w:rsid w:val="007C6B77"/>
    <w:rsid w:val="00810013"/>
    <w:rsid w:val="0085320F"/>
    <w:rsid w:val="00887DDA"/>
    <w:rsid w:val="00895AB3"/>
    <w:rsid w:val="008A2998"/>
    <w:rsid w:val="008B180E"/>
    <w:rsid w:val="008B42EE"/>
    <w:rsid w:val="008C65B4"/>
    <w:rsid w:val="00905AB3"/>
    <w:rsid w:val="00914476"/>
    <w:rsid w:val="00915956"/>
    <w:rsid w:val="00950503"/>
    <w:rsid w:val="00957381"/>
    <w:rsid w:val="0096610A"/>
    <w:rsid w:val="00975194"/>
    <w:rsid w:val="0098259B"/>
    <w:rsid w:val="009A3B98"/>
    <w:rsid w:val="009A6751"/>
    <w:rsid w:val="009E42FF"/>
    <w:rsid w:val="009F3A7F"/>
    <w:rsid w:val="009F4486"/>
    <w:rsid w:val="00A30B06"/>
    <w:rsid w:val="00A45F01"/>
    <w:rsid w:val="00A54F80"/>
    <w:rsid w:val="00A905A7"/>
    <w:rsid w:val="00AA39A9"/>
    <w:rsid w:val="00AB60D7"/>
    <w:rsid w:val="00AE2005"/>
    <w:rsid w:val="00B15EC2"/>
    <w:rsid w:val="00B35192"/>
    <w:rsid w:val="00B513AC"/>
    <w:rsid w:val="00B52105"/>
    <w:rsid w:val="00B66B9C"/>
    <w:rsid w:val="00B67ABF"/>
    <w:rsid w:val="00B67E8C"/>
    <w:rsid w:val="00B9724E"/>
    <w:rsid w:val="00BA716E"/>
    <w:rsid w:val="00BA73B7"/>
    <w:rsid w:val="00BB3403"/>
    <w:rsid w:val="00BC7B1D"/>
    <w:rsid w:val="00BF1BB5"/>
    <w:rsid w:val="00C06552"/>
    <w:rsid w:val="00C26E80"/>
    <w:rsid w:val="00C42370"/>
    <w:rsid w:val="00C7247A"/>
    <w:rsid w:val="00C76593"/>
    <w:rsid w:val="00C874C1"/>
    <w:rsid w:val="00CA0DB0"/>
    <w:rsid w:val="00CA35F3"/>
    <w:rsid w:val="00CB43AB"/>
    <w:rsid w:val="00CC45C1"/>
    <w:rsid w:val="00CD1401"/>
    <w:rsid w:val="00CD468A"/>
    <w:rsid w:val="00CF1C01"/>
    <w:rsid w:val="00CF5457"/>
    <w:rsid w:val="00D03DAA"/>
    <w:rsid w:val="00D24F01"/>
    <w:rsid w:val="00D85BCD"/>
    <w:rsid w:val="00D93375"/>
    <w:rsid w:val="00D95AAC"/>
    <w:rsid w:val="00DA0E5B"/>
    <w:rsid w:val="00DA2018"/>
    <w:rsid w:val="00DA5E4E"/>
    <w:rsid w:val="00DB6E6D"/>
    <w:rsid w:val="00DC5E5E"/>
    <w:rsid w:val="00E044EF"/>
    <w:rsid w:val="00E1038B"/>
    <w:rsid w:val="00E307A7"/>
    <w:rsid w:val="00E31486"/>
    <w:rsid w:val="00E51447"/>
    <w:rsid w:val="00E51E48"/>
    <w:rsid w:val="00E97570"/>
    <w:rsid w:val="00EA015D"/>
    <w:rsid w:val="00EA7BA1"/>
    <w:rsid w:val="00EB56A6"/>
    <w:rsid w:val="00ED1FCF"/>
    <w:rsid w:val="00F02F02"/>
    <w:rsid w:val="00F07DBA"/>
    <w:rsid w:val="00F2438D"/>
    <w:rsid w:val="00F41F1F"/>
    <w:rsid w:val="00FA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FC1D"/>
  <w15:chartTrackingRefBased/>
  <w15:docId w15:val="{BF67A7F6-98A5-4622-A44B-65D475FD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B98"/>
    <w:pPr>
      <w:spacing w:after="0" w:line="36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A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umerowanie,List Paragraph,Akapit z listą BS,Kolorowa lista — akcent 11,Wyliczanie,Kielce_wypunktowanie,A_wyliczenie,lubu 1)_wypkt.,K-P_odwolanie,Lublin_odwolanie,Sl_Akapit z listą,maz_wyliczenie,opis dzialania,Akapit z listą5"/>
    <w:basedOn w:val="Normalny"/>
    <w:link w:val="AkapitzlistZnak"/>
    <w:uiPriority w:val="34"/>
    <w:qFormat/>
    <w:rsid w:val="009A3B9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3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C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CDA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CDA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Pogrubienie">
    <w:name w:val="Strong"/>
    <w:basedOn w:val="Domylnaczcionkaakapitu"/>
    <w:uiPriority w:val="22"/>
    <w:qFormat/>
    <w:rsid w:val="00005E7E"/>
    <w:rPr>
      <w:b/>
      <w:bCs/>
    </w:rPr>
  </w:style>
  <w:style w:type="character" w:customStyle="1" w:styleId="hgkelc">
    <w:name w:val="hgkelc"/>
    <w:basedOn w:val="Domylnaczcionkaakapitu"/>
    <w:rsid w:val="00005E7E"/>
  </w:style>
  <w:style w:type="paragraph" w:styleId="NormalnyWeb">
    <w:name w:val="Normal (Web)"/>
    <w:basedOn w:val="Normalny"/>
    <w:uiPriority w:val="99"/>
    <w:unhideWhenUsed/>
    <w:rsid w:val="00720AA5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dobrerady">
    <w:name w:val="dobre_rady"/>
    <w:basedOn w:val="Domylnaczcionkaakapitu"/>
    <w:rsid w:val="00E044EF"/>
  </w:style>
  <w:style w:type="character" w:customStyle="1" w:styleId="span3">
    <w:name w:val="span3"/>
    <w:basedOn w:val="Domylnaczcionkaakapitu"/>
    <w:rsid w:val="00DB6E6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AB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E497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4979"/>
    <w:rPr>
      <w:rFonts w:ascii="Consolas" w:hAnsi="Consolas" w:cs="Times New Roman"/>
      <w:kern w:val="0"/>
      <w:sz w:val="21"/>
      <w:szCs w:val="21"/>
      <w14:ligatures w14:val="none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,Tekst przypisu,footnote text,o,fn"/>
    <w:basedOn w:val="Normalny"/>
    <w:link w:val="TekstprzypisudolnegoZnak"/>
    <w:uiPriority w:val="99"/>
    <w:unhideWhenUsed/>
    <w:qFormat/>
    <w:rsid w:val="00317FF8"/>
    <w:pPr>
      <w:spacing w:line="240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,o Znak,fn Znak"/>
    <w:basedOn w:val="Domylnaczcionkaakapitu"/>
    <w:link w:val="Tekstprzypisudolnego"/>
    <w:uiPriority w:val="99"/>
    <w:rsid w:val="00317FF8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317FF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17FF8"/>
    <w:rPr>
      <w:color w:val="0563C1" w:themeColor="hyperlink"/>
      <w:u w:val="single"/>
    </w:rPr>
  </w:style>
  <w:style w:type="character" w:customStyle="1" w:styleId="AkapitzlistZnak">
    <w:name w:val="Akapit z listą Znak"/>
    <w:aliases w:val="BulletC Znak,Numerowanie Znak,List Paragraph Znak,Akapit z listą BS Znak,Kolorowa lista — akcent 11 Znak,Wyliczanie Znak,Kielce_wypunktowanie Znak,A_wyliczenie Znak,lubu 1)_wypkt. Znak,K-P_odwolanie Znak,Lublin_odwolanie Znak"/>
    <w:link w:val="Akapitzlist"/>
    <w:uiPriority w:val="34"/>
    <w:qFormat/>
    <w:rsid w:val="0018155D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v.pl/web/rozwoj-technologia/Prekonsultacje-zmian-regulacji-w-zakresie-wyznaczania-charakterystyki-energetycznej-budynku-lub-czesci-budynku-oraz-wzorow-swiadectw-charakterystyki-energetyczn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3436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Ćwiek, Aneta</dc:creator>
  <cp:keywords/>
  <dc:description/>
  <cp:lastModifiedBy>Ćwiek, Aneta</cp:lastModifiedBy>
  <cp:revision>23</cp:revision>
  <dcterms:created xsi:type="dcterms:W3CDTF">2024-10-08T07:23:00Z</dcterms:created>
  <dcterms:modified xsi:type="dcterms:W3CDTF">2024-11-12T11:56:00Z</dcterms:modified>
</cp:coreProperties>
</file>