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A535" w14:textId="77777777" w:rsidR="002A7C40" w:rsidRPr="002D2A43" w:rsidRDefault="002A7C40" w:rsidP="00CF5457">
      <w:pPr>
        <w:spacing w:line="276" w:lineRule="auto"/>
        <w:jc w:val="center"/>
        <w:rPr>
          <w:b/>
          <w:bCs/>
          <w:u w:val="single"/>
        </w:rPr>
      </w:pPr>
      <w:bookmarkStart w:id="0" w:name="_Hlk177987366"/>
      <w:r w:rsidRPr="002A7C40">
        <w:rPr>
          <w:b/>
          <w:bCs/>
          <w:u w:val="single"/>
        </w:rPr>
        <w:t xml:space="preserve">PYTANIA I ODPOWIEDZI DOTYCZĄCE NABORU </w:t>
      </w:r>
    </w:p>
    <w:p w14:paraId="0E18F72F" w14:textId="334C53B6" w:rsidR="002A7C40" w:rsidRPr="002A7C40" w:rsidRDefault="002A7C40" w:rsidP="00CF5457">
      <w:pPr>
        <w:spacing w:after="240" w:line="276" w:lineRule="auto"/>
        <w:jc w:val="center"/>
        <w:rPr>
          <w:b/>
          <w:bCs/>
          <w:u w:val="single"/>
        </w:rPr>
      </w:pPr>
      <w:r w:rsidRPr="002A7C40">
        <w:rPr>
          <w:b/>
          <w:bCs/>
          <w:u w:val="single"/>
        </w:rPr>
        <w:t>NUMER FESW.0</w:t>
      </w:r>
      <w:r w:rsidR="00D24CA8">
        <w:rPr>
          <w:b/>
          <w:bCs/>
          <w:u w:val="single"/>
        </w:rPr>
        <w:t>2</w:t>
      </w:r>
      <w:r w:rsidRPr="002A7C40">
        <w:rPr>
          <w:b/>
          <w:bCs/>
          <w:u w:val="single"/>
        </w:rPr>
        <w:t>.0</w:t>
      </w:r>
      <w:r w:rsidR="00696951">
        <w:rPr>
          <w:b/>
          <w:bCs/>
          <w:u w:val="single"/>
        </w:rPr>
        <w:t>1</w:t>
      </w:r>
      <w:r w:rsidRPr="002A7C40">
        <w:rPr>
          <w:b/>
          <w:bCs/>
          <w:u w:val="single"/>
        </w:rPr>
        <w:t>-IZ.00-00</w:t>
      </w:r>
      <w:r w:rsidR="00413CA7">
        <w:rPr>
          <w:b/>
          <w:bCs/>
          <w:u w:val="single"/>
        </w:rPr>
        <w:t>2</w:t>
      </w:r>
      <w:r w:rsidRPr="002A7C40">
        <w:rPr>
          <w:b/>
          <w:bCs/>
          <w:u w:val="single"/>
        </w:rPr>
        <w:t>/2</w:t>
      </w:r>
      <w:r w:rsidRPr="002D2A43">
        <w:rPr>
          <w:b/>
          <w:bCs/>
          <w:u w:val="single"/>
        </w:rPr>
        <w:t>4</w:t>
      </w:r>
      <w:r w:rsidRPr="002A7C40">
        <w:rPr>
          <w:b/>
          <w:bCs/>
          <w:u w:val="single"/>
        </w:rPr>
        <w:t xml:space="preserve"> </w:t>
      </w:r>
      <w:r w:rsidRPr="002A7C40">
        <w:rPr>
          <w:b/>
          <w:bCs/>
          <w:u w:val="single"/>
        </w:rPr>
        <w:br/>
        <w:t xml:space="preserve">DZIAŁANIE </w:t>
      </w:r>
      <w:r w:rsidR="00D24CA8">
        <w:rPr>
          <w:b/>
          <w:bCs/>
          <w:u w:val="single"/>
        </w:rPr>
        <w:t>2</w:t>
      </w:r>
      <w:r w:rsidR="00581C33">
        <w:rPr>
          <w:b/>
          <w:bCs/>
          <w:u w:val="single"/>
        </w:rPr>
        <w:t>.</w:t>
      </w:r>
      <w:r w:rsidR="00696951">
        <w:rPr>
          <w:b/>
          <w:bCs/>
          <w:u w:val="single"/>
        </w:rPr>
        <w:t>1</w:t>
      </w:r>
      <w:r w:rsidRPr="002A7C40">
        <w:rPr>
          <w:b/>
          <w:bCs/>
          <w:u w:val="single"/>
        </w:rPr>
        <w:t xml:space="preserve"> FEŚ 2021-2027</w:t>
      </w:r>
    </w:p>
    <w:p w14:paraId="3025B0BB" w14:textId="7987A2B3" w:rsidR="00CF1C01" w:rsidRPr="002D2A43" w:rsidRDefault="00CF1C01" w:rsidP="00687E3C">
      <w:pPr>
        <w:spacing w:after="120" w:line="276" w:lineRule="auto"/>
        <w:jc w:val="both"/>
        <w:rPr>
          <w:b/>
          <w:bCs/>
          <w:i/>
          <w:iCs/>
        </w:rPr>
      </w:pPr>
      <w:r w:rsidRPr="002D2A43">
        <w:rPr>
          <w:b/>
          <w:bCs/>
        </w:rPr>
        <w:t>Zgodnie z zapisami § 1</w:t>
      </w:r>
      <w:r w:rsidR="00D24CA8">
        <w:rPr>
          <w:b/>
          <w:bCs/>
        </w:rPr>
        <w:t>8</w:t>
      </w:r>
      <w:r w:rsidRPr="002D2A43">
        <w:rPr>
          <w:b/>
          <w:bCs/>
        </w:rPr>
        <w:t xml:space="preserve"> pkt. 1</w:t>
      </w:r>
      <w:r w:rsidR="00D24CA8">
        <w:rPr>
          <w:b/>
          <w:bCs/>
        </w:rPr>
        <w:t>8</w:t>
      </w:r>
      <w:r w:rsidRPr="002D2A43">
        <w:rPr>
          <w:b/>
          <w:bCs/>
        </w:rPr>
        <w:t>.1 Regulaminu wyboru projektów dla naboru FESW.0</w:t>
      </w:r>
      <w:r w:rsidR="00D24CA8">
        <w:rPr>
          <w:b/>
          <w:bCs/>
        </w:rPr>
        <w:t>2</w:t>
      </w:r>
      <w:r w:rsidRPr="002D2A43">
        <w:rPr>
          <w:b/>
          <w:bCs/>
        </w:rPr>
        <w:t>.0</w:t>
      </w:r>
      <w:r w:rsidR="00696951">
        <w:rPr>
          <w:b/>
          <w:bCs/>
        </w:rPr>
        <w:t>1</w:t>
      </w:r>
      <w:r w:rsidRPr="002D2A43">
        <w:rPr>
          <w:b/>
          <w:bCs/>
        </w:rPr>
        <w:t>-IZ.00-00</w:t>
      </w:r>
      <w:r w:rsidR="00413CA7">
        <w:rPr>
          <w:b/>
          <w:bCs/>
        </w:rPr>
        <w:t>2</w:t>
      </w:r>
      <w:r w:rsidRPr="002D2A43">
        <w:rPr>
          <w:b/>
          <w:bCs/>
        </w:rPr>
        <w:t>/24 „</w:t>
      </w:r>
      <w:r w:rsidRPr="002D2A43">
        <w:rPr>
          <w:b/>
          <w:bCs/>
          <w:i/>
          <w:iCs/>
        </w:rPr>
        <w:t xml:space="preserve">zadawane pytania </w:t>
      </w:r>
      <w:r w:rsidRPr="002D2A43">
        <w:rPr>
          <w:b/>
          <w:bCs/>
          <w:i/>
          <w:iCs/>
          <w:u w:val="single"/>
        </w:rPr>
        <w:t>nie mogą dotyczyć</w:t>
      </w:r>
      <w:r w:rsidRPr="002D2A43">
        <w:rPr>
          <w:b/>
          <w:bCs/>
          <w:i/>
          <w:iCs/>
        </w:rPr>
        <w:t xml:space="preserve"> kwestii rozstrzygających </w:t>
      </w:r>
      <w:r w:rsidRPr="002D2A43">
        <w:rPr>
          <w:b/>
          <w:bCs/>
          <w:i/>
          <w:iCs/>
        </w:rPr>
        <w:br/>
        <w:t xml:space="preserve">w zakresie oceny wniosku i jej wyniku oraz konkretnych zapisów czy rozwiązań zastosowanych w danym projekcie, celem ich wstępnej oceny. Ocena pod kątem spełniania kryteriów wyboru projektów należy do ustawowej kompetencji KOP i może być dokonywana wyłącznie przez nią i wyłącznie na tym etapie. Odpowiedź na zadawane pytania udzielona przez IZ FEŚ nie jest równoznaczna z wynikiem oceny wniosku i nie może stanowić podstawy do roszczeń w stosunku do KOP, co do późniejszych rozstrzygnięć dokonywanych na etapie oceny i wyboru projektów do dofinansowania w oparciu o pełną złożoną dokumentację aplikacyjną konkretnego projektu.” </w:t>
      </w:r>
    </w:p>
    <w:p w14:paraId="30F9D385" w14:textId="3431124B" w:rsidR="00CF1C01" w:rsidRPr="002D2A43" w:rsidRDefault="00CF1C01" w:rsidP="00687E3C">
      <w:pPr>
        <w:spacing w:line="276" w:lineRule="auto"/>
        <w:jc w:val="both"/>
        <w:rPr>
          <w:b/>
          <w:bCs/>
        </w:rPr>
      </w:pPr>
      <w:r w:rsidRPr="002D2A43">
        <w:rPr>
          <w:b/>
          <w:bCs/>
        </w:rPr>
        <w:t xml:space="preserve">Nie jest możliwe podejmowanie wiążących stanowisk w oparciu o niekompletne informacje dotyczące planowanego projektu. Jego ocena wymaga bowiem kompleksowej analizy pełnej dokumentacji aplikacyjnej z uwzględnieniem wszelkich okoliczności </w:t>
      </w:r>
      <w:r w:rsidRPr="002D2A43">
        <w:rPr>
          <w:b/>
          <w:bCs/>
        </w:rPr>
        <w:br/>
        <w:t xml:space="preserve">i szczegółów planowanego zakresu.   </w:t>
      </w:r>
    </w:p>
    <w:p w14:paraId="786415CA" w14:textId="77777777" w:rsidR="00CF1C01" w:rsidRPr="002D2A43" w:rsidRDefault="00CF1C01" w:rsidP="00687E3C">
      <w:pPr>
        <w:spacing w:line="276" w:lineRule="auto"/>
        <w:jc w:val="both"/>
        <w:rPr>
          <w:b/>
          <w:bCs/>
        </w:rPr>
      </w:pPr>
    </w:p>
    <w:p w14:paraId="3D9A1AE0" w14:textId="0B37A9B7" w:rsidR="00CF1C01" w:rsidRPr="007A05CD" w:rsidRDefault="00413CA7" w:rsidP="00687E3C">
      <w:pPr>
        <w:spacing w:after="160" w:line="276" w:lineRule="auto"/>
        <w:jc w:val="both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05.12.2024r.</w:t>
      </w:r>
      <w:r w:rsidR="00CF1C01" w:rsidRPr="002777F5">
        <w:rPr>
          <w:b/>
          <w:bCs/>
          <w:highlight w:val="green"/>
          <w:u w:val="single"/>
        </w:rPr>
        <w:t>:</w:t>
      </w:r>
    </w:p>
    <w:bookmarkEnd w:id="0"/>
    <w:p w14:paraId="12696E1D" w14:textId="77777777" w:rsidR="00413CA7" w:rsidRDefault="00CF1C01" w:rsidP="00413CA7">
      <w:pPr>
        <w:spacing w:after="160" w:line="276" w:lineRule="auto"/>
        <w:jc w:val="both"/>
        <w:rPr>
          <w:i/>
          <w:iCs/>
        </w:rPr>
      </w:pPr>
      <w:r w:rsidRPr="00DA2018">
        <w:rPr>
          <w:i/>
          <w:iCs/>
          <w:u w:val="single"/>
        </w:rPr>
        <w:t>Pytanie</w:t>
      </w:r>
      <w:r w:rsidR="007A05CD" w:rsidRPr="00DA2018">
        <w:rPr>
          <w:i/>
          <w:iCs/>
          <w:u w:val="single"/>
        </w:rPr>
        <w:t xml:space="preserve"> 1</w:t>
      </w:r>
      <w:r w:rsidR="00ED1FCF">
        <w:rPr>
          <w:i/>
          <w:iCs/>
        </w:rPr>
        <w:t>:</w:t>
      </w:r>
      <w:r w:rsidR="007A05CD" w:rsidRPr="007A05CD">
        <w:rPr>
          <w:i/>
          <w:iCs/>
        </w:rPr>
        <w:t xml:space="preserve"> </w:t>
      </w:r>
      <w:r w:rsidR="00413CA7" w:rsidRPr="00413CA7">
        <w:rPr>
          <w:i/>
          <w:iCs/>
        </w:rPr>
        <w:t>W związku z ogłoszonym konkursem nr FESW.02.01-IZ.00-002/24 Efektywność energetyczna, zwracam się z pytaniem dotyczącym tego, czy  w przedmiotowym konkursie można składać wnioski o dofinansowanie wyłącznie na budynki komunalne, czy również na budynki socjalne?</w:t>
      </w:r>
    </w:p>
    <w:p w14:paraId="5828DA8D" w14:textId="77777777" w:rsidR="00413CA7" w:rsidRDefault="00413CA7" w:rsidP="00413CA7">
      <w:pPr>
        <w:spacing w:after="160" w:line="276" w:lineRule="auto"/>
        <w:jc w:val="both"/>
        <w:rPr>
          <w:i/>
          <w:iCs/>
        </w:rPr>
      </w:pPr>
    </w:p>
    <w:p w14:paraId="4E2C87BD" w14:textId="71B216FD" w:rsidR="00CF1C01" w:rsidRDefault="00CF1C01" w:rsidP="00413CA7">
      <w:pPr>
        <w:spacing w:after="160" w:line="276" w:lineRule="auto"/>
        <w:jc w:val="both"/>
        <w:rPr>
          <w:u w:val="single"/>
        </w:rPr>
      </w:pPr>
      <w:r w:rsidRPr="006937F9">
        <w:rPr>
          <w:u w:val="single"/>
        </w:rPr>
        <w:t>Odpowiedź:</w:t>
      </w:r>
    </w:p>
    <w:p w14:paraId="19321573" w14:textId="177A0B8C" w:rsidR="00C76593" w:rsidRDefault="0049327E" w:rsidP="00687E3C">
      <w:pPr>
        <w:spacing w:line="276" w:lineRule="auto"/>
        <w:jc w:val="both"/>
      </w:pPr>
      <w:r>
        <w:t xml:space="preserve">Zgodnie z zapisami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wyboru projektów</w:t>
      </w:r>
      <w:r>
        <w:t xml:space="preserve"> (punkt 3.1)</w:t>
      </w:r>
      <w:r w:rsidR="00103E6C">
        <w:t xml:space="preserve"> cyt.</w:t>
      </w:r>
      <w:r>
        <w:t xml:space="preserve"> </w:t>
      </w:r>
      <w:r w:rsidR="00103E6C">
        <w:t>„</w:t>
      </w:r>
      <w:r w:rsidR="00FB27D6" w:rsidRPr="00FB27D6">
        <w:rPr>
          <w:i/>
          <w:iCs/>
        </w:rPr>
        <w:t>3.1</w:t>
      </w:r>
      <w:r w:rsidR="00FB27D6" w:rsidRPr="00FB27D6">
        <w:rPr>
          <w:i/>
          <w:iCs/>
        </w:rPr>
        <w:tab/>
        <w:t xml:space="preserve">W ramach naboru dofinansowanie mogą otrzymać projekty dotyczące poprawy efektywności energetycznej/kompleksowej modernizacji energetycznej wielorodzinnych </w:t>
      </w:r>
      <w:r w:rsidR="00FB27D6" w:rsidRPr="00FB27D6">
        <w:rPr>
          <w:b/>
          <w:bCs/>
          <w:i/>
          <w:iCs/>
        </w:rPr>
        <w:t xml:space="preserve">budynków mieszkalnych stanowiących w </w:t>
      </w:r>
      <w:r w:rsidR="00FB27D6" w:rsidRPr="00FB27D6">
        <w:rPr>
          <w:b/>
          <w:bCs/>
          <w:i/>
          <w:iCs/>
          <w:u w:val="single"/>
        </w:rPr>
        <w:t>100% mienie komunalne</w:t>
      </w:r>
      <w:r w:rsidR="00FB27D6" w:rsidRPr="00FB27D6">
        <w:rPr>
          <w:i/>
          <w:iCs/>
        </w:rPr>
        <w:t>, w kierunku rozwiązań kompleksowych oraz zmniejszania ubóstwa energetycznego z uwzględnieniem zapisów Linii demarkacyjnej, Umowy partnerstwa, Programu FEŚ 2021-2027 i SZOP FEŚ 2021-2027</w:t>
      </w:r>
      <w:r w:rsidR="00103E6C">
        <w:rPr>
          <w:i/>
          <w:iCs/>
        </w:rPr>
        <w:t>”.</w:t>
      </w:r>
      <w:r w:rsidRPr="00103E6C">
        <w:rPr>
          <w:i/>
          <w:iCs/>
        </w:rPr>
        <w:t xml:space="preserve"> </w:t>
      </w:r>
    </w:p>
    <w:p w14:paraId="0BD9F1D8" w14:textId="6FD13A4F" w:rsidR="001B6E06" w:rsidRDefault="00FB27D6" w:rsidP="00FB27D6">
      <w:pPr>
        <w:spacing w:line="276" w:lineRule="auto"/>
        <w:jc w:val="both"/>
      </w:pPr>
      <w:r w:rsidRPr="00FB27D6">
        <w:t xml:space="preserve">Mienie komunalne – definiowane zgodnie z art. 43 Ustawy z dnia 8 marca 1990 roku </w:t>
      </w:r>
      <w:r w:rsidRPr="00FB27D6">
        <w:rPr>
          <w:i/>
          <w:iCs/>
        </w:rPr>
        <w:t>o samorządzie gminnym</w:t>
      </w:r>
      <w:r w:rsidRPr="00FB27D6">
        <w:t xml:space="preserve">, </w:t>
      </w:r>
      <w:r w:rsidRPr="00FB27D6">
        <w:rPr>
          <w:b/>
          <w:bCs/>
        </w:rPr>
        <w:t>to własność i inne prawa majątkowe należące do poszczególnych gmin</w:t>
      </w:r>
      <w:r w:rsidRPr="00FB27D6">
        <w:t xml:space="preserve"> i ich związków oraz mienie innych gminnych osób prawnych, w tym przedsiębiorstw</w:t>
      </w:r>
      <w:r>
        <w:t>.</w:t>
      </w:r>
    </w:p>
    <w:p w14:paraId="2BF7D8E8" w14:textId="1BEF465F" w:rsidR="00FB27D6" w:rsidRDefault="00FB27D6" w:rsidP="00FB27D6">
      <w:pPr>
        <w:spacing w:line="276" w:lineRule="auto"/>
        <w:jc w:val="both"/>
      </w:pPr>
      <w:r>
        <w:t xml:space="preserve">Mając na uwadze powyższe </w:t>
      </w:r>
      <w:r w:rsidR="00A34CC8">
        <w:t>to właściciel nieruchomości określa sposób wykorzystania mienia komunalnego</w:t>
      </w:r>
      <w:r w:rsidR="00066A03">
        <w:t>.</w:t>
      </w:r>
    </w:p>
    <w:p w14:paraId="4892342B" w14:textId="75F6B5D4" w:rsidR="00A2636F" w:rsidRDefault="00A2636F" w:rsidP="00A2636F">
      <w:pPr>
        <w:spacing w:line="276" w:lineRule="auto"/>
        <w:jc w:val="both"/>
      </w:pPr>
      <w:r>
        <w:t xml:space="preserve">Zgodnie z zapisami Ustawy z dnia 27 sierpnia 2009 r. </w:t>
      </w:r>
      <w:r w:rsidRPr="00A2636F">
        <w:rPr>
          <w:i/>
          <w:iCs/>
        </w:rPr>
        <w:t>o finansach publicznych</w:t>
      </w:r>
      <w:r>
        <w:t>, art.  267.  Ust. 1 [Obowiązki sprawozdawcze względem organu stanowiącego obejmujące zakończony rok budżetowy]</w:t>
      </w:r>
    </w:p>
    <w:p w14:paraId="07DB97BD" w14:textId="52D4EC11" w:rsidR="00A2636F" w:rsidRDefault="00A2636F" w:rsidP="00A2636F">
      <w:pPr>
        <w:spacing w:line="276" w:lineRule="auto"/>
        <w:jc w:val="both"/>
      </w:pPr>
      <w:r>
        <w:lastRenderedPageBreak/>
        <w:t>„Zarząd jednostki samorządu terytorialnego przedstawia, w terminie do dnia 31 marca roku następującego po roku budżetowym, organowi stanowiącemu jednostki samorządu terytorialnego:</w:t>
      </w:r>
    </w:p>
    <w:p w14:paraId="2DC7F879" w14:textId="494F1B75" w:rsidR="00A2636F" w:rsidRDefault="00A2636F" w:rsidP="00A2636F">
      <w:pPr>
        <w:pStyle w:val="Akapitzlist"/>
        <w:numPr>
          <w:ilvl w:val="0"/>
          <w:numId w:val="12"/>
        </w:numPr>
        <w:spacing w:line="276" w:lineRule="auto"/>
        <w:jc w:val="both"/>
      </w:pPr>
      <w:r>
        <w:t>sprawozdanie roczne z wykonania budżetu tej jednostki, zawierające zestawienie dochodów i wydatków wynikające z zamknięć rachunków budżetu jednostki samorządu terytorialnego, w szczegółowości nie mniejszej niż w uchwale budżetowej;</w:t>
      </w:r>
    </w:p>
    <w:p w14:paraId="5DA6210F" w14:textId="77777777" w:rsidR="00A2636F" w:rsidRDefault="00A2636F" w:rsidP="00A2636F">
      <w:pPr>
        <w:pStyle w:val="Akapitzlist"/>
        <w:numPr>
          <w:ilvl w:val="0"/>
          <w:numId w:val="12"/>
        </w:numPr>
        <w:spacing w:line="276" w:lineRule="auto"/>
        <w:jc w:val="both"/>
      </w:pPr>
      <w:r>
        <w:t>sprawozdania, o których mowa w art. 265 pkt 2;</w:t>
      </w:r>
    </w:p>
    <w:p w14:paraId="493E2ED9" w14:textId="428E06C2" w:rsidR="00A2636F" w:rsidRDefault="00A2636F" w:rsidP="00A2636F">
      <w:pPr>
        <w:pStyle w:val="Akapitzlist"/>
        <w:numPr>
          <w:ilvl w:val="0"/>
          <w:numId w:val="12"/>
        </w:numPr>
        <w:spacing w:line="276" w:lineRule="auto"/>
        <w:jc w:val="both"/>
      </w:pPr>
      <w:r>
        <w:t>informację o stanie mienia jednostki samorządu terytorialnego, zawierającą:</w:t>
      </w:r>
    </w:p>
    <w:p w14:paraId="70FAF123" w14:textId="77777777" w:rsidR="00B06EDC" w:rsidRDefault="00A2636F" w:rsidP="00A2636F">
      <w:pPr>
        <w:pStyle w:val="Akapitzlist"/>
        <w:numPr>
          <w:ilvl w:val="0"/>
          <w:numId w:val="13"/>
        </w:numPr>
        <w:spacing w:line="276" w:lineRule="auto"/>
        <w:jc w:val="both"/>
      </w:pPr>
      <w:r>
        <w:t>dane dotyczące przysługujących jednostce samorządu terytorialnego praw własności,</w:t>
      </w:r>
    </w:p>
    <w:p w14:paraId="6D434FEE" w14:textId="77777777" w:rsidR="00B06EDC" w:rsidRDefault="00A2636F" w:rsidP="00B06EDC">
      <w:pPr>
        <w:pStyle w:val="Akapitzlist"/>
        <w:numPr>
          <w:ilvl w:val="0"/>
          <w:numId w:val="13"/>
        </w:numPr>
        <w:spacing w:line="276" w:lineRule="auto"/>
        <w:jc w:val="both"/>
      </w:pPr>
      <w:r>
        <w:t>dane dotyczące:</w:t>
      </w:r>
    </w:p>
    <w:p w14:paraId="34AC3C61" w14:textId="77777777" w:rsidR="00B06EDC" w:rsidRPr="00B06EDC" w:rsidRDefault="00A2636F" w:rsidP="00B06EDC">
      <w:pPr>
        <w:pStyle w:val="Akapitzlist"/>
        <w:numPr>
          <w:ilvl w:val="0"/>
          <w:numId w:val="14"/>
        </w:numPr>
        <w:spacing w:line="276" w:lineRule="auto"/>
        <w:ind w:left="1134"/>
        <w:jc w:val="both"/>
      </w:pPr>
      <w:r>
        <w:t xml:space="preserve">innych niż własność praw majątkowych, w tym w szczególności o ograniczonych </w:t>
      </w:r>
      <w:r w:rsidRPr="00B06EDC">
        <w:t>prawach rzeczowych, użytkowaniu wieczystym, wierzytelnościach, udziałach w spółkach, akcjach,</w:t>
      </w:r>
    </w:p>
    <w:p w14:paraId="7544706D" w14:textId="63184216" w:rsidR="00B06EDC" w:rsidRDefault="00A2636F" w:rsidP="00B06EDC">
      <w:pPr>
        <w:pStyle w:val="Akapitzlist"/>
        <w:numPr>
          <w:ilvl w:val="0"/>
          <w:numId w:val="14"/>
        </w:numPr>
        <w:spacing w:line="276" w:lineRule="auto"/>
        <w:ind w:left="1134"/>
        <w:jc w:val="both"/>
      </w:pPr>
      <w:r w:rsidRPr="00B06EDC">
        <w:t>posiadania</w:t>
      </w:r>
      <w:r>
        <w:t>,</w:t>
      </w:r>
    </w:p>
    <w:p w14:paraId="1F6CACE6" w14:textId="77777777" w:rsidR="00B06EDC" w:rsidRDefault="00A2636F" w:rsidP="00A2636F">
      <w:pPr>
        <w:pStyle w:val="Akapitzlist"/>
        <w:numPr>
          <w:ilvl w:val="0"/>
          <w:numId w:val="13"/>
        </w:numPr>
        <w:spacing w:line="276" w:lineRule="auto"/>
        <w:jc w:val="both"/>
      </w:pPr>
      <w:r w:rsidRPr="00066A03">
        <w:rPr>
          <w:b/>
          <w:bCs/>
        </w:rPr>
        <w:t>dane o zmianach w stanie mienia komunalnego, w zakresie określonym w lit. a i b, od dnia złożenia poprzedniej informacji</w:t>
      </w:r>
      <w:r>
        <w:t>,</w:t>
      </w:r>
    </w:p>
    <w:p w14:paraId="2DBB467B" w14:textId="77777777" w:rsidR="00B06EDC" w:rsidRDefault="00A2636F" w:rsidP="00A2636F">
      <w:pPr>
        <w:pStyle w:val="Akapitzlist"/>
        <w:numPr>
          <w:ilvl w:val="0"/>
          <w:numId w:val="13"/>
        </w:numPr>
        <w:spacing w:line="276" w:lineRule="auto"/>
        <w:jc w:val="both"/>
      </w:pPr>
      <w:r>
        <w:t>dane o dochodach uzyskanych z tytułu wykonywania prawa własności i innych praw majątkowych oraz z wykonywania posiadania,</w:t>
      </w:r>
    </w:p>
    <w:p w14:paraId="375B00D5" w14:textId="445B15D9" w:rsidR="00A2636F" w:rsidRDefault="00A2636F" w:rsidP="00A2636F">
      <w:pPr>
        <w:pStyle w:val="Akapitzlist"/>
        <w:numPr>
          <w:ilvl w:val="0"/>
          <w:numId w:val="13"/>
        </w:numPr>
        <w:spacing w:line="276" w:lineRule="auto"/>
        <w:jc w:val="both"/>
      </w:pPr>
      <w:r>
        <w:t>inne dane i informacje o zdarzeniach mających wpływ na stan mienia jednostki samorządu terytorialnego.</w:t>
      </w:r>
      <w:r w:rsidR="00B06EDC">
        <w:t>”</w:t>
      </w:r>
    </w:p>
    <w:p w14:paraId="4CE1EC6A" w14:textId="160544D1" w:rsidR="00B06EDC" w:rsidRDefault="00B06EDC" w:rsidP="00B06EDC">
      <w:pPr>
        <w:spacing w:line="276" w:lineRule="auto"/>
        <w:jc w:val="both"/>
      </w:pPr>
      <w:r>
        <w:t xml:space="preserve">Mając na uwadze powyższe jednostka samorządu terytorialnego jest w posiadaniu zestawienia zawierającego szczegółowe dane na temat mienia komunalnego. </w:t>
      </w:r>
    </w:p>
    <w:sectPr w:rsidR="00B0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88F7" w14:textId="77777777" w:rsidR="00317FF8" w:rsidRDefault="00317FF8" w:rsidP="00317FF8">
      <w:pPr>
        <w:spacing w:line="240" w:lineRule="auto"/>
      </w:pPr>
      <w:r>
        <w:separator/>
      </w:r>
    </w:p>
  </w:endnote>
  <w:endnote w:type="continuationSeparator" w:id="0">
    <w:p w14:paraId="5513AAAB" w14:textId="77777777" w:rsidR="00317FF8" w:rsidRDefault="00317FF8" w:rsidP="00317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29AA" w14:textId="77777777" w:rsidR="00317FF8" w:rsidRDefault="00317FF8" w:rsidP="00317FF8">
      <w:pPr>
        <w:spacing w:line="240" w:lineRule="auto"/>
      </w:pPr>
      <w:r>
        <w:separator/>
      </w:r>
    </w:p>
  </w:footnote>
  <w:footnote w:type="continuationSeparator" w:id="0">
    <w:p w14:paraId="28E908C4" w14:textId="77777777" w:rsidR="00317FF8" w:rsidRDefault="00317FF8" w:rsidP="00317F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16F"/>
    <w:multiLevelType w:val="hybridMultilevel"/>
    <w:tmpl w:val="8E443BEC"/>
    <w:lvl w:ilvl="0" w:tplc="C9A434D0">
      <w:start w:val="1"/>
      <w:numFmt w:val="bullet"/>
      <w:lvlText w:val=""/>
      <w:lvlJc w:val="left"/>
      <w:pPr>
        <w:ind w:left="16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0A3714D8"/>
    <w:multiLevelType w:val="multilevel"/>
    <w:tmpl w:val="B30A2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4962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482D2C"/>
    <w:multiLevelType w:val="hybridMultilevel"/>
    <w:tmpl w:val="7D5C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991"/>
    <w:multiLevelType w:val="hybridMultilevel"/>
    <w:tmpl w:val="FCCA6B80"/>
    <w:lvl w:ilvl="0" w:tplc="C9A4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166A"/>
    <w:multiLevelType w:val="hybridMultilevel"/>
    <w:tmpl w:val="508807C6"/>
    <w:lvl w:ilvl="0" w:tplc="C9A4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6909"/>
    <w:multiLevelType w:val="hybridMultilevel"/>
    <w:tmpl w:val="F1BC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7339"/>
    <w:multiLevelType w:val="hybridMultilevel"/>
    <w:tmpl w:val="5EC2B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2149B9"/>
    <w:multiLevelType w:val="hybridMultilevel"/>
    <w:tmpl w:val="E5266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E6D63"/>
    <w:multiLevelType w:val="hybridMultilevel"/>
    <w:tmpl w:val="DC240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5DB3"/>
    <w:multiLevelType w:val="hybridMultilevel"/>
    <w:tmpl w:val="DB6E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46666"/>
    <w:multiLevelType w:val="hybridMultilevel"/>
    <w:tmpl w:val="5F0C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20E2"/>
    <w:multiLevelType w:val="hybridMultilevel"/>
    <w:tmpl w:val="A7C6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55D60"/>
    <w:multiLevelType w:val="hybridMultilevel"/>
    <w:tmpl w:val="74708AB6"/>
    <w:lvl w:ilvl="0" w:tplc="C9A4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7943"/>
    <w:multiLevelType w:val="hybridMultilevel"/>
    <w:tmpl w:val="47D4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0714">
    <w:abstractNumId w:val="10"/>
  </w:num>
  <w:num w:numId="2" w16cid:durableId="1789348198">
    <w:abstractNumId w:val="13"/>
  </w:num>
  <w:num w:numId="3" w16cid:durableId="125661022">
    <w:abstractNumId w:val="5"/>
  </w:num>
  <w:num w:numId="4" w16cid:durableId="247813069">
    <w:abstractNumId w:val="1"/>
  </w:num>
  <w:num w:numId="5" w16cid:durableId="1394501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699050">
    <w:abstractNumId w:val="4"/>
  </w:num>
  <w:num w:numId="7" w16cid:durableId="2003005649">
    <w:abstractNumId w:val="0"/>
  </w:num>
  <w:num w:numId="8" w16cid:durableId="938105357">
    <w:abstractNumId w:val="8"/>
  </w:num>
  <w:num w:numId="9" w16cid:durableId="944774435">
    <w:abstractNumId w:val="11"/>
  </w:num>
  <w:num w:numId="10" w16cid:durableId="331377510">
    <w:abstractNumId w:val="12"/>
  </w:num>
  <w:num w:numId="11" w16cid:durableId="1160806299">
    <w:abstractNumId w:val="6"/>
  </w:num>
  <w:num w:numId="12" w16cid:durableId="701710834">
    <w:abstractNumId w:val="2"/>
  </w:num>
  <w:num w:numId="13" w16cid:durableId="570192288">
    <w:abstractNumId w:val="7"/>
  </w:num>
  <w:num w:numId="14" w16cid:durableId="136809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8"/>
    <w:rsid w:val="00005E7E"/>
    <w:rsid w:val="00035679"/>
    <w:rsid w:val="00042AD5"/>
    <w:rsid w:val="00066A03"/>
    <w:rsid w:val="00083A73"/>
    <w:rsid w:val="00090387"/>
    <w:rsid w:val="000937FA"/>
    <w:rsid w:val="000A701C"/>
    <w:rsid w:val="000E4BC0"/>
    <w:rsid w:val="00103E6C"/>
    <w:rsid w:val="0014064B"/>
    <w:rsid w:val="001719B6"/>
    <w:rsid w:val="001761AA"/>
    <w:rsid w:val="0018155D"/>
    <w:rsid w:val="00187B0E"/>
    <w:rsid w:val="001B4730"/>
    <w:rsid w:val="001B6E06"/>
    <w:rsid w:val="001C0B76"/>
    <w:rsid w:val="001D500D"/>
    <w:rsid w:val="001E0390"/>
    <w:rsid w:val="001E05D6"/>
    <w:rsid w:val="001E0B66"/>
    <w:rsid w:val="00227A5A"/>
    <w:rsid w:val="00233CDA"/>
    <w:rsid w:val="00257289"/>
    <w:rsid w:val="002777F5"/>
    <w:rsid w:val="002A7C40"/>
    <w:rsid w:val="002D2A43"/>
    <w:rsid w:val="002D3717"/>
    <w:rsid w:val="00317FF8"/>
    <w:rsid w:val="003256B3"/>
    <w:rsid w:val="00350784"/>
    <w:rsid w:val="0037068B"/>
    <w:rsid w:val="003740AB"/>
    <w:rsid w:val="003829F7"/>
    <w:rsid w:val="0038444D"/>
    <w:rsid w:val="00413633"/>
    <w:rsid w:val="00413CA7"/>
    <w:rsid w:val="00435E48"/>
    <w:rsid w:val="00452363"/>
    <w:rsid w:val="00456680"/>
    <w:rsid w:val="0049327E"/>
    <w:rsid w:val="004966F7"/>
    <w:rsid w:val="004A30D6"/>
    <w:rsid w:val="004B46E6"/>
    <w:rsid w:val="004C402D"/>
    <w:rsid w:val="004D520F"/>
    <w:rsid w:val="004E4979"/>
    <w:rsid w:val="004F0CCE"/>
    <w:rsid w:val="00505097"/>
    <w:rsid w:val="00524814"/>
    <w:rsid w:val="0055108E"/>
    <w:rsid w:val="00554811"/>
    <w:rsid w:val="00570E05"/>
    <w:rsid w:val="00581C33"/>
    <w:rsid w:val="005A3708"/>
    <w:rsid w:val="005B531A"/>
    <w:rsid w:val="005B6EC9"/>
    <w:rsid w:val="005D60A2"/>
    <w:rsid w:val="005E1E10"/>
    <w:rsid w:val="00634396"/>
    <w:rsid w:val="0066573B"/>
    <w:rsid w:val="00687E3C"/>
    <w:rsid w:val="00693512"/>
    <w:rsid w:val="006937F9"/>
    <w:rsid w:val="00696951"/>
    <w:rsid w:val="00696E8E"/>
    <w:rsid w:val="00697270"/>
    <w:rsid w:val="00706000"/>
    <w:rsid w:val="00720AA5"/>
    <w:rsid w:val="00735E8F"/>
    <w:rsid w:val="00774922"/>
    <w:rsid w:val="007A05CD"/>
    <w:rsid w:val="007C45A8"/>
    <w:rsid w:val="007C6B77"/>
    <w:rsid w:val="007E5BFF"/>
    <w:rsid w:val="00810013"/>
    <w:rsid w:val="0085320F"/>
    <w:rsid w:val="00887DDA"/>
    <w:rsid w:val="00895AB3"/>
    <w:rsid w:val="008A2998"/>
    <w:rsid w:val="008B180E"/>
    <w:rsid w:val="008B42EE"/>
    <w:rsid w:val="008C65B4"/>
    <w:rsid w:val="00905AB3"/>
    <w:rsid w:val="00914476"/>
    <w:rsid w:val="00915956"/>
    <w:rsid w:val="00950503"/>
    <w:rsid w:val="00957381"/>
    <w:rsid w:val="0096610A"/>
    <w:rsid w:val="00975194"/>
    <w:rsid w:val="0098259B"/>
    <w:rsid w:val="009A3B98"/>
    <w:rsid w:val="009A6751"/>
    <w:rsid w:val="009E42FF"/>
    <w:rsid w:val="009F3A7F"/>
    <w:rsid w:val="009F4486"/>
    <w:rsid w:val="00A2636F"/>
    <w:rsid w:val="00A30B06"/>
    <w:rsid w:val="00A34CC8"/>
    <w:rsid w:val="00A45F01"/>
    <w:rsid w:val="00A54F80"/>
    <w:rsid w:val="00A905A7"/>
    <w:rsid w:val="00AA39A9"/>
    <w:rsid w:val="00AB60D7"/>
    <w:rsid w:val="00AE2005"/>
    <w:rsid w:val="00B06EDC"/>
    <w:rsid w:val="00B15EC2"/>
    <w:rsid w:val="00B35192"/>
    <w:rsid w:val="00B513AC"/>
    <w:rsid w:val="00B52105"/>
    <w:rsid w:val="00B66B9C"/>
    <w:rsid w:val="00B67ABF"/>
    <w:rsid w:val="00B67E8C"/>
    <w:rsid w:val="00B9724E"/>
    <w:rsid w:val="00BA716E"/>
    <w:rsid w:val="00BA73B7"/>
    <w:rsid w:val="00BB3403"/>
    <w:rsid w:val="00BC7B1D"/>
    <w:rsid w:val="00BF1BB5"/>
    <w:rsid w:val="00C06552"/>
    <w:rsid w:val="00C26E80"/>
    <w:rsid w:val="00C42370"/>
    <w:rsid w:val="00C7247A"/>
    <w:rsid w:val="00C76593"/>
    <w:rsid w:val="00C87495"/>
    <w:rsid w:val="00C874C1"/>
    <w:rsid w:val="00CA0DB0"/>
    <w:rsid w:val="00CA35F3"/>
    <w:rsid w:val="00CB43AB"/>
    <w:rsid w:val="00CC45C1"/>
    <w:rsid w:val="00CD1401"/>
    <w:rsid w:val="00CD468A"/>
    <w:rsid w:val="00CF1C01"/>
    <w:rsid w:val="00CF5457"/>
    <w:rsid w:val="00D03DAA"/>
    <w:rsid w:val="00D24CA8"/>
    <w:rsid w:val="00D24F01"/>
    <w:rsid w:val="00D85BCD"/>
    <w:rsid w:val="00D93375"/>
    <w:rsid w:val="00D95AAC"/>
    <w:rsid w:val="00DA0E5B"/>
    <w:rsid w:val="00DA2018"/>
    <w:rsid w:val="00DA5E4E"/>
    <w:rsid w:val="00DB6E6D"/>
    <w:rsid w:val="00DC5E5E"/>
    <w:rsid w:val="00E044EF"/>
    <w:rsid w:val="00E1038B"/>
    <w:rsid w:val="00E307A7"/>
    <w:rsid w:val="00E31486"/>
    <w:rsid w:val="00E51447"/>
    <w:rsid w:val="00E51E48"/>
    <w:rsid w:val="00E843DB"/>
    <w:rsid w:val="00E97570"/>
    <w:rsid w:val="00EA015D"/>
    <w:rsid w:val="00EA7BA1"/>
    <w:rsid w:val="00EB56A6"/>
    <w:rsid w:val="00ED1FCF"/>
    <w:rsid w:val="00F02F02"/>
    <w:rsid w:val="00F07DBA"/>
    <w:rsid w:val="00F2438D"/>
    <w:rsid w:val="00F41F1F"/>
    <w:rsid w:val="00FA0A6E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FC1D"/>
  <w15:chartTrackingRefBased/>
  <w15:docId w15:val="{BF67A7F6-98A5-4622-A44B-65D475F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B98"/>
    <w:pPr>
      <w:spacing w:after="0"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9A3B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CDA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CDA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005E7E"/>
    <w:rPr>
      <w:b/>
      <w:bCs/>
    </w:rPr>
  </w:style>
  <w:style w:type="character" w:customStyle="1" w:styleId="hgkelc">
    <w:name w:val="hgkelc"/>
    <w:basedOn w:val="Domylnaczcionkaakapitu"/>
    <w:rsid w:val="00005E7E"/>
  </w:style>
  <w:style w:type="paragraph" w:styleId="NormalnyWeb">
    <w:name w:val="Normal (Web)"/>
    <w:basedOn w:val="Normalny"/>
    <w:uiPriority w:val="99"/>
    <w:unhideWhenUsed/>
    <w:rsid w:val="00720AA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dobrerady">
    <w:name w:val="dobre_rady"/>
    <w:basedOn w:val="Domylnaczcionkaakapitu"/>
    <w:rsid w:val="00E044EF"/>
  </w:style>
  <w:style w:type="character" w:customStyle="1" w:styleId="span3">
    <w:name w:val="span3"/>
    <w:basedOn w:val="Domylnaczcionkaakapitu"/>
    <w:rsid w:val="00DB6E6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AB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49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4979"/>
    <w:rPr>
      <w:rFonts w:ascii="Consolas" w:hAnsi="Consolas" w:cs="Times New Roman"/>
      <w:kern w:val="0"/>
      <w:sz w:val="21"/>
      <w:szCs w:val="21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Tekst przypisu,footnote text,o,fn"/>
    <w:basedOn w:val="Normalny"/>
    <w:link w:val="TekstprzypisudolnegoZnak"/>
    <w:uiPriority w:val="99"/>
    <w:unhideWhenUsed/>
    <w:qFormat/>
    <w:rsid w:val="00317FF8"/>
    <w:pPr>
      <w:spacing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o Znak,fn Znak"/>
    <w:basedOn w:val="Domylnaczcionkaakapitu"/>
    <w:link w:val="Tekstprzypisudolnego"/>
    <w:uiPriority w:val="99"/>
    <w:rsid w:val="00317FF8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17FF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17FF8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link w:val="Akapitzlist"/>
    <w:uiPriority w:val="34"/>
    <w:qFormat/>
    <w:rsid w:val="0018155D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Ćwiek, Aneta</dc:creator>
  <cp:keywords/>
  <dc:description/>
  <cp:lastModifiedBy>Ćwiek, Aneta</cp:lastModifiedBy>
  <cp:revision>4</cp:revision>
  <dcterms:created xsi:type="dcterms:W3CDTF">2024-12-13T07:29:00Z</dcterms:created>
  <dcterms:modified xsi:type="dcterms:W3CDTF">2024-12-19T07:29:00Z</dcterms:modified>
</cp:coreProperties>
</file>