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6DD995B5" w:rsidR="00A0435A" w:rsidRPr="006C3AD2" w:rsidRDefault="00A0435A" w:rsidP="00915D15">
      <w:pPr>
        <w:rPr>
          <w:bCs/>
        </w:rPr>
      </w:pPr>
      <w:bookmarkStart w:id="0" w:name="_Ref199640118"/>
      <w:r w:rsidRPr="00074E1D">
        <w:rPr>
          <w:bCs/>
          <w:highlight w:val="yellow"/>
        </w:rPr>
        <w:t xml:space="preserve">Załącznik Nr </w:t>
      </w:r>
      <w:r w:rsidR="004642A0" w:rsidRPr="00074E1D">
        <w:rPr>
          <w:bCs/>
          <w:highlight w:val="yellow"/>
        </w:rPr>
        <w:t>5</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77777777"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68F65D4C"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z późn. zm.</w:t>
      </w:r>
      <w:r w:rsidRPr="006C3AD2">
        <w:rPr>
          <w:color w:val="000000" w:themeColor="text1"/>
        </w:rPr>
        <w:t xml:space="preserve">), zwanej dalej „ufp”;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 xml:space="preserve">„SzOP”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r w:rsidRPr="006C3AD2">
        <w:rPr>
          <w:iCs/>
        </w:rPr>
        <w:t>ufp,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 Sz</w:t>
      </w:r>
      <w:r w:rsidRPr="006C3AD2">
        <w:rPr>
          <w:rFonts w:eastAsia="Tahoma"/>
          <w:color w:val="000000" w:themeColor="text1"/>
          <w:spacing w:val="1"/>
        </w:rPr>
        <w:t>O</w:t>
      </w:r>
      <w:r w:rsidRPr="006C3AD2">
        <w:rPr>
          <w:rFonts w:eastAsia="Tahoma"/>
          <w:color w:val="000000" w:themeColor="text1"/>
        </w:rPr>
        <w:t>P</w:t>
      </w:r>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Beneficjent oświadcza i zapewnia, że Partnerzy nie podlega/ją wykluczeniu, o którym mowa w art. 207 ust. 4 ufp.</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bankowego/ych, o którym/ch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lastRenderedPageBreak/>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na zasadach określonych w art. 207 ufp.</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6C3AD2">
        <w:rPr>
          <w:rFonts w:cs="Arial"/>
        </w:rPr>
        <w:lastRenderedPageBreak/>
        <w:t>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lastRenderedPageBreak/>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 xml:space="preserve">co najmniej przez cały okres jego amortyzacji (od momentu przyjęcia składnika infrastruktury do użytkowania), niezależnie od okresu trwałości Projektu, przy czym </w:t>
      </w:r>
      <w:r w:rsidRPr="006C3AD2">
        <w:lastRenderedPageBreak/>
        <w:t>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lastRenderedPageBreak/>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Informacja pokontrolna oraz ostateczna informacja pokontrolna zawierają termin przekazania instytucji kontrolującej informacji o sposobie wykonania zaleceń </w:t>
      </w:r>
      <w:r w:rsidRPr="006C3AD2">
        <w:rPr>
          <w:color w:val="000000"/>
        </w:rPr>
        <w:lastRenderedPageBreak/>
        <w:t>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lastRenderedPageBreak/>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lastRenderedPageBreak/>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rojektu nie została zachowana. Zwrot następuje w trybie określonym w art. 207 ufp.</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umieszczania w widoczny sposób znaku Funduszy Europejskich, znaku barw Rzeczypospolitej Polskiej (jeśli dotyczy wersja pełnokolorowa)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lastRenderedPageBreak/>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lastRenderedPageBreak/>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lastRenderedPageBreak/>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Pr="006C3AD2">
        <w:rPr>
          <w:bCs/>
          <w:color w:val="000000" w:themeColor="text1"/>
        </w:rPr>
        <w:lastRenderedPageBreak/>
        <w:t>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w:t>
      </w:r>
      <w:r w:rsidRPr="006C3AD2">
        <w:rPr>
          <w:rFonts w:eastAsia="Arial" w:cstheme="minorHAnsi"/>
          <w:color w:val="000000" w:themeColor="text1"/>
        </w:rPr>
        <w:lastRenderedPageBreak/>
        <w:t xml:space="preserve">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lastRenderedPageBreak/>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lastRenderedPageBreak/>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2E9E6E05"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w:t>
      </w:r>
      <w:r w:rsidRPr="006C3AD2">
        <w:lastRenderedPageBreak/>
        <w:t xml:space="preserve">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(t.j. Dz. U. z 202</w:t>
      </w:r>
      <w:r w:rsidR="00276A5C">
        <w:t>4</w:t>
      </w:r>
      <w:r w:rsidRPr="006C3AD2">
        <w:t xml:space="preserve"> r., poz. </w:t>
      </w:r>
      <w:r w:rsidR="00276A5C">
        <w:t>1061</w:t>
      </w:r>
      <w:r w:rsidRPr="006C3AD2">
        <w:t xml:space="preserve"> z późn. zm.), ustawa z dnia 27 sierpnia 2009 r. o finansach publicznych (t.j. Dz. U. z 202</w:t>
      </w:r>
      <w:r w:rsidR="00276A5C">
        <w:t>4</w:t>
      </w:r>
      <w:r w:rsidRPr="006C3AD2">
        <w:t xml:space="preserve"> r., poz. </w:t>
      </w:r>
      <w:r w:rsidR="00276A5C">
        <w:t>1530</w:t>
      </w:r>
      <w:r w:rsidR="00CE5C30">
        <w:t xml:space="preserve"> </w:t>
      </w:r>
      <w:r w:rsidR="00CE5C30" w:rsidRPr="00CE5C30">
        <w:t>z późn. zm.</w:t>
      </w:r>
      <w:r w:rsidRPr="006C3AD2">
        <w:t xml:space="preserve">), ustawa z dnia 29 września 1994 r. o rachunkowości (t.j. Dz. U. z 2023 r. poz. 120 z późn. zm.), ustawa z dnia 11 września 2019 r. Prawo zamówień publicznych </w:t>
      </w:r>
      <w:r w:rsidRPr="006C3AD2">
        <w:rPr>
          <w:iCs/>
        </w:rPr>
        <w:t>(Dz. U. z 202</w:t>
      </w:r>
      <w:r w:rsidR="00276A5C">
        <w:rPr>
          <w:iCs/>
        </w:rPr>
        <w:t>4</w:t>
      </w:r>
      <w:r w:rsidRPr="006C3AD2">
        <w:rPr>
          <w:iCs/>
        </w:rPr>
        <w:t xml:space="preserve"> r., poz. </w:t>
      </w:r>
      <w:r w:rsidR="00276A5C">
        <w:rPr>
          <w:iCs/>
        </w:rPr>
        <w:t>1320</w:t>
      </w:r>
      <w:r w:rsidRPr="006C3AD2">
        <w:rPr>
          <w:iCs/>
        </w:rPr>
        <w:t xml:space="preserve">), ustawa z dnia 30 kwietnia 2004 r. o postępowaniu w sprawach dotyczących pomocy publicznej (t.j. Dz. U. z 2023 r., poz. </w:t>
      </w:r>
      <w:r w:rsidR="00DA654D" w:rsidRPr="006C3AD2">
        <w:rPr>
          <w:iCs/>
        </w:rPr>
        <w:t>7</w:t>
      </w:r>
      <w:r w:rsidRPr="006C3AD2">
        <w:rPr>
          <w:iCs/>
        </w:rPr>
        <w:t xml:space="preserve">02), ustawa z dnia 27 kwietnia 2001 r. Prawo Ochrony Środowiska (t.j. Dz. U. z 2024 r., poz. 54 z późn. zm.), ustawa z dnia 11 marca 2004 r. o podatku od towarów i usług (t.j. </w:t>
      </w:r>
      <w:r w:rsidRPr="006C3AD2">
        <w:t xml:space="preserve">Dz. U. z 2024 r., poz. </w:t>
      </w:r>
      <w:r w:rsidR="00DA654D" w:rsidRPr="006C3AD2">
        <w:t>361</w:t>
      </w:r>
      <w:r w:rsidRPr="006C3AD2">
        <w:t xml:space="preserve"> z późn.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SzOP,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proofErr w:type="gramStart"/>
      <w:r w:rsidR="00326240" w:rsidRPr="006C3AD2">
        <w:t>…</w:t>
      </w:r>
      <w:r w:rsidRPr="006C3AD2">
        <w:t>….</w:t>
      </w:r>
      <w:proofErr w:type="gramEnd"/>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lastRenderedPageBreak/>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 xml:space="preserve">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 xml:space="preserve">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 xml:space="preserve">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t>
      </w:r>
      <w:r w:rsidRPr="0019330C">
        <w:rPr>
          <w:sz w:val="18"/>
          <w:szCs w:val="18"/>
        </w:rPr>
        <w:t xml:space="preserve">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w:t>
      </w:r>
      <w:r w:rsidRPr="003954F2">
        <w:rPr>
          <w:sz w:val="18"/>
          <w:szCs w:val="18"/>
        </w:rPr>
        <w:t>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w:t>
      </w:r>
      <w:r w:rsidRPr="00002DC9">
        <w:rPr>
          <w:sz w:val="18"/>
          <w:szCs w:val="18"/>
        </w:rPr>
        <w:t xml:space="preserve">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w:t>
      </w:r>
      <w:r w:rsidRPr="000220FA">
        <w:rPr>
          <w:sz w:val="18"/>
          <w:szCs w:val="18"/>
        </w:rPr>
        <w:t>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 xml:space="preserve">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w:t>
      </w:r>
      <w:r w:rsidRPr="00837389">
        <w:rPr>
          <w:sz w:val="18"/>
          <w:szCs w:val="18"/>
        </w:rPr>
        <w:t>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 xml:space="preserve">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w:t>
      </w:r>
      <w:r w:rsidRPr="00213717">
        <w:rPr>
          <w:sz w:val="18"/>
          <w:szCs w:val="18"/>
        </w:rPr>
        <w:t>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633C040"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Zgodnie z art. 49 ust. 3 i 5 rozporządzenia ogólnego.</w:t>
      </w:r>
    </w:p>
  </w:footnote>
  <w:footnote w:id="63">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3F52B8">
        <w:rPr>
          <w:sz w:val="18"/>
          <w:szCs w:val="18"/>
        </w:rPr>
        <w:t xml:space="preserve">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808A9904">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41</Pages>
  <Words>17831</Words>
  <Characters>106989</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124571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Wieczorek, Magdalena</cp:lastModifiedBy>
  <cp:revision>15</cp:revision>
  <cp:lastPrinted>2024-07-04T11:32:00Z</cp:lastPrinted>
  <dcterms:created xsi:type="dcterms:W3CDTF">2024-10-17T05:36:00Z</dcterms:created>
  <dcterms:modified xsi:type="dcterms:W3CDTF">2024-11-20T10:04:00Z</dcterms:modified>
</cp:coreProperties>
</file>