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0A535" w14:textId="77777777" w:rsidR="002A7C40" w:rsidRPr="002D2A43" w:rsidRDefault="002A7C40" w:rsidP="00CF5457">
      <w:pPr>
        <w:spacing w:line="276" w:lineRule="auto"/>
        <w:jc w:val="center"/>
        <w:rPr>
          <w:b/>
          <w:bCs/>
          <w:u w:val="single"/>
        </w:rPr>
      </w:pPr>
      <w:bookmarkStart w:id="0" w:name="_Hlk177987366"/>
      <w:r w:rsidRPr="002A7C40">
        <w:rPr>
          <w:b/>
          <w:bCs/>
          <w:u w:val="single"/>
        </w:rPr>
        <w:t xml:space="preserve">PYTANIA I ODPOWIEDZI DOTYCZĄCE NABORU </w:t>
      </w:r>
    </w:p>
    <w:p w14:paraId="0E18F72F" w14:textId="0DBC37C7" w:rsidR="002A7C40" w:rsidRPr="002A7C40" w:rsidRDefault="002A7C40" w:rsidP="00CF5457">
      <w:pPr>
        <w:spacing w:after="240" w:line="276" w:lineRule="auto"/>
        <w:jc w:val="center"/>
        <w:rPr>
          <w:b/>
          <w:bCs/>
          <w:u w:val="single"/>
        </w:rPr>
      </w:pPr>
      <w:r w:rsidRPr="002A7C40">
        <w:rPr>
          <w:b/>
          <w:bCs/>
          <w:u w:val="single"/>
        </w:rPr>
        <w:t>NUMER FESW.0</w:t>
      </w:r>
      <w:r w:rsidRPr="002D2A43">
        <w:rPr>
          <w:b/>
          <w:bCs/>
          <w:u w:val="single"/>
        </w:rPr>
        <w:t>2</w:t>
      </w:r>
      <w:r w:rsidRPr="002A7C40">
        <w:rPr>
          <w:b/>
          <w:bCs/>
          <w:u w:val="single"/>
        </w:rPr>
        <w:t>.0</w:t>
      </w:r>
      <w:r w:rsidRPr="002D2A43">
        <w:rPr>
          <w:b/>
          <w:bCs/>
          <w:u w:val="single"/>
        </w:rPr>
        <w:t>3</w:t>
      </w:r>
      <w:r w:rsidRPr="002A7C40">
        <w:rPr>
          <w:b/>
          <w:bCs/>
          <w:u w:val="single"/>
        </w:rPr>
        <w:t>-IZ.00-001/2</w:t>
      </w:r>
      <w:r w:rsidRPr="002D2A43">
        <w:rPr>
          <w:b/>
          <w:bCs/>
          <w:u w:val="single"/>
        </w:rPr>
        <w:t>4</w:t>
      </w:r>
      <w:r w:rsidRPr="002A7C40">
        <w:rPr>
          <w:b/>
          <w:bCs/>
          <w:u w:val="single"/>
        </w:rPr>
        <w:t xml:space="preserve"> </w:t>
      </w:r>
      <w:r w:rsidRPr="002A7C40">
        <w:rPr>
          <w:b/>
          <w:bCs/>
          <w:u w:val="single"/>
        </w:rPr>
        <w:br/>
        <w:t xml:space="preserve">DZIAŁANIE </w:t>
      </w:r>
      <w:r w:rsidR="00581C33">
        <w:rPr>
          <w:b/>
          <w:bCs/>
          <w:u w:val="single"/>
        </w:rPr>
        <w:t>2.3</w:t>
      </w:r>
      <w:r w:rsidRPr="002A7C40">
        <w:rPr>
          <w:b/>
          <w:bCs/>
          <w:u w:val="single"/>
        </w:rPr>
        <w:t xml:space="preserve"> FEŚ 2021-2027</w:t>
      </w:r>
    </w:p>
    <w:p w14:paraId="3025B0BB" w14:textId="4AE6D8EA" w:rsidR="00CF1C01" w:rsidRPr="002D2A43" w:rsidRDefault="00CF1C01" w:rsidP="00CF5457">
      <w:pPr>
        <w:spacing w:after="120" w:line="276" w:lineRule="auto"/>
        <w:jc w:val="both"/>
        <w:rPr>
          <w:b/>
          <w:bCs/>
          <w:i/>
          <w:iCs/>
        </w:rPr>
      </w:pPr>
      <w:r w:rsidRPr="002D2A43">
        <w:rPr>
          <w:b/>
          <w:bCs/>
        </w:rPr>
        <w:t>Zgodnie z zapisami § 17 pkt. 17.1 Regulaminu wyboru projektów dla naboru FESW.02.03-IZ.00-001/24 „</w:t>
      </w:r>
      <w:r w:rsidRPr="002D2A43">
        <w:rPr>
          <w:b/>
          <w:bCs/>
          <w:i/>
          <w:iCs/>
        </w:rPr>
        <w:t xml:space="preserve">zadawane pytania </w:t>
      </w:r>
      <w:r w:rsidRPr="002D2A43">
        <w:rPr>
          <w:b/>
          <w:bCs/>
          <w:i/>
          <w:iCs/>
          <w:u w:val="single"/>
        </w:rPr>
        <w:t>nie mogą dotyczyć</w:t>
      </w:r>
      <w:r w:rsidRPr="002D2A43">
        <w:rPr>
          <w:b/>
          <w:bCs/>
          <w:i/>
          <w:iCs/>
        </w:rPr>
        <w:t xml:space="preserve"> kwestii rozstrzygających </w:t>
      </w:r>
      <w:r w:rsidRPr="002D2A43">
        <w:rPr>
          <w:b/>
          <w:bCs/>
          <w:i/>
          <w:iCs/>
        </w:rPr>
        <w:br/>
        <w:t xml:space="preserve">w zakresie oceny wniosku i jej wyniku oraz konkretnych zapisów czy rozwiązań zastosowanych w danym projekcie, celem ich wstępnej oceny. Ocena pod kątem spełniania kryteriów wyboru projektów należy do ustawowej kompetencji KOP i może być dokonywana wyłącznie przez nią i wyłącznie na tym etapie. Odpowiedź na zadawane pytania udzielona przez IZ FEŚ nie jest równoznaczna z wynikiem oceny wniosku i nie może stanowić podstawy do roszczeń w stosunku do KOP, co do późniejszych rozstrzygnięć dokonywanych na etapie oceny i wyboru projektów do dofinansowania w oparciu o pełną złożoną dokumentację aplikacyjną konkretnego projektu.” </w:t>
      </w:r>
    </w:p>
    <w:p w14:paraId="30F9D385" w14:textId="3431124B" w:rsidR="00CF1C01" w:rsidRPr="002D2A43" w:rsidRDefault="00CF1C01" w:rsidP="00CF5457">
      <w:pPr>
        <w:spacing w:line="276" w:lineRule="auto"/>
        <w:jc w:val="both"/>
        <w:rPr>
          <w:b/>
          <w:bCs/>
        </w:rPr>
      </w:pPr>
      <w:r w:rsidRPr="002D2A43">
        <w:rPr>
          <w:b/>
          <w:bCs/>
        </w:rPr>
        <w:t xml:space="preserve">Nie jest możliwe podejmowanie wiążących stanowisk w oparciu o niekompletne informacje dotyczące planowanego projektu. Jego ocena wymaga bowiem kompleksowej analizy pełnej dokumentacji aplikacyjnej z uwzględnieniem wszelkich okoliczności </w:t>
      </w:r>
      <w:r w:rsidRPr="002D2A43">
        <w:rPr>
          <w:b/>
          <w:bCs/>
        </w:rPr>
        <w:br/>
        <w:t xml:space="preserve">i szczegółów planowanego zakresu.   </w:t>
      </w:r>
    </w:p>
    <w:p w14:paraId="786415CA" w14:textId="77777777" w:rsidR="00CF1C01" w:rsidRPr="002D2A43" w:rsidRDefault="00CF1C01" w:rsidP="00CF5457">
      <w:pPr>
        <w:spacing w:line="276" w:lineRule="auto"/>
        <w:jc w:val="both"/>
        <w:rPr>
          <w:b/>
          <w:bCs/>
        </w:rPr>
      </w:pPr>
    </w:p>
    <w:p w14:paraId="3D9A1AE0" w14:textId="457E8AB7" w:rsidR="00CF1C01" w:rsidRPr="007A05CD" w:rsidRDefault="00CF1C01" w:rsidP="00CF5457">
      <w:pPr>
        <w:spacing w:after="160" w:line="276" w:lineRule="auto"/>
        <w:jc w:val="both"/>
        <w:rPr>
          <w:b/>
          <w:bCs/>
          <w:u w:val="single"/>
        </w:rPr>
      </w:pPr>
      <w:r w:rsidRPr="009F3A7F">
        <w:rPr>
          <w:b/>
          <w:bCs/>
          <w:highlight w:val="green"/>
          <w:u w:val="single"/>
        </w:rPr>
        <w:t>23.09.2024:</w:t>
      </w:r>
    </w:p>
    <w:p w14:paraId="070B4961" w14:textId="69675E50" w:rsidR="00B9724E" w:rsidRPr="007A05CD" w:rsidRDefault="00B9724E" w:rsidP="00CF5457">
      <w:pPr>
        <w:spacing w:line="276" w:lineRule="auto"/>
        <w:jc w:val="both"/>
        <w:rPr>
          <w:u w:val="single"/>
        </w:rPr>
      </w:pPr>
      <w:r w:rsidRPr="007A05CD">
        <w:rPr>
          <w:u w:val="single"/>
        </w:rPr>
        <w:t xml:space="preserve">Zapytanie skierowane do podmiotu zajmującego się dystrybucją/obrotem energią:  </w:t>
      </w:r>
    </w:p>
    <w:bookmarkEnd w:id="0"/>
    <w:p w14:paraId="75232329" w14:textId="3F15FF57" w:rsidR="009A3B98" w:rsidRPr="007A05CD" w:rsidRDefault="00B9724E" w:rsidP="00CF5457">
      <w:pPr>
        <w:spacing w:line="276" w:lineRule="auto"/>
        <w:jc w:val="both"/>
        <w:rPr>
          <w:i/>
          <w:iCs/>
        </w:rPr>
      </w:pPr>
      <w:r w:rsidRPr="007A05CD">
        <w:rPr>
          <w:i/>
          <w:iCs/>
        </w:rPr>
        <w:t xml:space="preserve">1. </w:t>
      </w:r>
      <w:r w:rsidR="009A3B98" w:rsidRPr="007A05CD">
        <w:rPr>
          <w:i/>
          <w:iCs/>
        </w:rPr>
        <w:t xml:space="preserve">Jakie są wymagania formalno-prawne, które musi spełnić oraz jakich czynności musi dokonać odbiorca końcowy (mieszkaniec/osoba fizyczna), u którego planowana jest realizacja magazynu energii dla istniejącej i działającej na potrzeby własne (nie związane </w:t>
      </w:r>
      <w:r w:rsidR="007A05CD">
        <w:rPr>
          <w:i/>
          <w:iCs/>
        </w:rPr>
        <w:br/>
      </w:r>
      <w:r w:rsidR="009A3B98" w:rsidRPr="007A05CD">
        <w:rPr>
          <w:i/>
          <w:iCs/>
        </w:rPr>
        <w:t xml:space="preserve">z prowadzeniem działalności gospodarczej) mikroinstalacji fotowoltaicznej w sytuacji, gdy moc magazynu nie będzie wyższa od mocy tej instalacji? W szczególności uprzejmie proszę </w:t>
      </w:r>
      <w:r w:rsidR="007A05CD">
        <w:rPr>
          <w:i/>
          <w:iCs/>
        </w:rPr>
        <w:br/>
      </w:r>
      <w:r w:rsidR="009A3B98" w:rsidRPr="007A05CD">
        <w:rPr>
          <w:i/>
          <w:iCs/>
        </w:rPr>
        <w:t xml:space="preserve">o informację, czy konieczne będzie w takiej sytuacji pozyskanie dodatkowych zgód, uzgodnień, decyzji, podpisywania/aneksowania umów, warunków itp., a jeśli tak to jakich? Dodatkowo, </w:t>
      </w:r>
      <w:r w:rsidR="009A3B98" w:rsidRPr="007A05CD">
        <w:rPr>
          <w:i/>
          <w:iCs/>
        </w:rPr>
        <w:br/>
        <w:t>w przypadku takiej konieczności proszę o określenie terminów w jakich formalności tych należy dokonać (czy przed faktycznym zainstalowaniem urządzenia, czy po jego instalacji)?</w:t>
      </w:r>
    </w:p>
    <w:p w14:paraId="75997DD7" w14:textId="77777777" w:rsidR="00CF1C01" w:rsidRPr="002D2A43" w:rsidRDefault="00CF1C01" w:rsidP="00CF5457">
      <w:pPr>
        <w:spacing w:line="276" w:lineRule="auto"/>
        <w:jc w:val="both"/>
        <w:rPr>
          <w:b/>
          <w:bCs/>
        </w:rPr>
      </w:pPr>
    </w:p>
    <w:p w14:paraId="5457C287" w14:textId="437C37F0" w:rsidR="00CF1C01" w:rsidRPr="007A05CD" w:rsidRDefault="009A3B98" w:rsidP="00CF5457">
      <w:pPr>
        <w:spacing w:line="276" w:lineRule="auto"/>
        <w:jc w:val="both"/>
        <w:rPr>
          <w:u w:val="single"/>
        </w:rPr>
      </w:pPr>
      <w:r w:rsidRPr="007A05CD">
        <w:rPr>
          <w:u w:val="single"/>
        </w:rPr>
        <w:t>Odpowiedź</w:t>
      </w:r>
      <w:r w:rsidR="00B9724E" w:rsidRPr="007A05CD">
        <w:rPr>
          <w:u w:val="single"/>
        </w:rPr>
        <w:t xml:space="preserve"> </w:t>
      </w:r>
      <w:r w:rsidR="007A05CD" w:rsidRPr="007A05CD">
        <w:rPr>
          <w:u w:val="single"/>
        </w:rPr>
        <w:t xml:space="preserve">ww. </w:t>
      </w:r>
      <w:r w:rsidR="00B9724E" w:rsidRPr="007A05CD">
        <w:rPr>
          <w:u w:val="single"/>
        </w:rPr>
        <w:t>podmiotu</w:t>
      </w:r>
      <w:r w:rsidRPr="007A05CD">
        <w:rPr>
          <w:u w:val="single"/>
        </w:rPr>
        <w:t xml:space="preserve">: </w:t>
      </w:r>
    </w:p>
    <w:p w14:paraId="7FFDBEC9" w14:textId="4306D99C" w:rsidR="00B9724E" w:rsidRPr="007A05CD" w:rsidRDefault="009A3B98" w:rsidP="00CF5457">
      <w:pPr>
        <w:spacing w:line="276" w:lineRule="auto"/>
        <w:jc w:val="both"/>
      </w:pPr>
      <w:r w:rsidRPr="00CA0DB0">
        <w:rPr>
          <w:b/>
          <w:bCs/>
        </w:rPr>
        <w:t xml:space="preserve"> </w:t>
      </w:r>
      <w:r w:rsidR="00B9724E" w:rsidRPr="007A05CD">
        <w:t>W</w:t>
      </w:r>
      <w:r w:rsidRPr="007A05CD">
        <w:t xml:space="preserve"> celu przyłączenia magazynu energii będącego częścią mikroinstalacji, gdzie moc zainstalowana magazynu nie będzie wyższa od mocy zainstalowanej aktualnie przyłączonej mikroinstalacji, pierwszą czynnością jaką należy wykonać to fizyczne zainstalowanie urządzenia magazynującego bez jego uruchamiania. Następnie należy zgłosić aktualizację danych przyłączonej mikroinstalacji poprzez zgłoszenie (druk-WZM1) wraz z kompletem wymaganych załączników w siedzibie</w:t>
      </w:r>
      <w:r w:rsidR="00B15EC2" w:rsidRPr="007A05CD">
        <w:t xml:space="preserve"> dystrybutora</w:t>
      </w:r>
      <w:r w:rsidRPr="007A05CD">
        <w:t xml:space="preserve"> lub za pomocą elektronicznego portalu klienta poprzez odpowiedni formularz. Po pozytywnej weryfikacji zgłoszenia przedsiębiorstwo energetyczne w terminie 30 dni od dnia dokonania kompletnego zgłoszenia wystawi dokument: „Potwierdzenie możliwości świadczenia usługi dystrybucji energii…” (PMŚU). Wystawienie dokumentu PMŚU oznaczać będzie koniec obowiązków jakie musi spełnić Operator Systemu Dystrybucyjnego, a tym samym koniec procesu przyłączeniowego.</w:t>
      </w:r>
    </w:p>
    <w:p w14:paraId="16E210A5" w14:textId="77777777" w:rsidR="00CF1C01" w:rsidRPr="002D2A43" w:rsidRDefault="00CF1C01" w:rsidP="00CF5457">
      <w:pPr>
        <w:spacing w:before="120" w:line="276" w:lineRule="auto"/>
        <w:jc w:val="both"/>
        <w:rPr>
          <w:b/>
          <w:bCs/>
        </w:rPr>
      </w:pPr>
    </w:p>
    <w:p w14:paraId="61ACA984" w14:textId="77777777" w:rsidR="00CF1C01" w:rsidRPr="002D2A43" w:rsidRDefault="00CF1C01" w:rsidP="00CF5457">
      <w:pPr>
        <w:spacing w:before="120" w:line="276" w:lineRule="auto"/>
        <w:jc w:val="both"/>
        <w:rPr>
          <w:b/>
          <w:bCs/>
        </w:rPr>
      </w:pPr>
    </w:p>
    <w:p w14:paraId="1FE52B15" w14:textId="33FF3BFA" w:rsidR="009A3B98" w:rsidRPr="007A05CD" w:rsidRDefault="00B9724E" w:rsidP="00CF5457">
      <w:pPr>
        <w:spacing w:before="120" w:line="276" w:lineRule="auto"/>
        <w:jc w:val="both"/>
        <w:rPr>
          <w:u w:val="single"/>
        </w:rPr>
      </w:pPr>
      <w:r w:rsidRPr="007A05CD">
        <w:rPr>
          <w:u w:val="single"/>
        </w:rPr>
        <w:t xml:space="preserve">Zapytanie skierowane do podmiotu zajmującego się dystrybucją/obrotem energią:  </w:t>
      </w:r>
    </w:p>
    <w:p w14:paraId="6008E0BE" w14:textId="79A53F4A" w:rsidR="009A3B98" w:rsidRPr="002D2A43" w:rsidRDefault="009A3B98" w:rsidP="00CF5457">
      <w:pPr>
        <w:spacing w:line="276" w:lineRule="auto"/>
        <w:jc w:val="both"/>
      </w:pPr>
      <w:r w:rsidRPr="002D2A43">
        <w:t xml:space="preserve">2. </w:t>
      </w:r>
      <w:r w:rsidRPr="007A05CD">
        <w:rPr>
          <w:i/>
          <w:iCs/>
        </w:rPr>
        <w:t>Czy w związku z montażem magazynu energii dla istniejącej instalacji fotowoltaicznej prosumenci, którzy dotychczas rozliczają się w systemie net-</w:t>
      </w:r>
      <w:proofErr w:type="spellStart"/>
      <w:r w:rsidRPr="007A05CD">
        <w:rPr>
          <w:i/>
          <w:iCs/>
        </w:rPr>
        <w:t>mettering</w:t>
      </w:r>
      <w:proofErr w:type="spellEnd"/>
      <w:r w:rsidRPr="007A05CD">
        <w:rPr>
          <w:i/>
          <w:iCs/>
        </w:rPr>
        <w:t xml:space="preserve"> (instalacje uruchamiane przed wejściem w życie zmian systemu rozliczania od kwietnia 2022 roku), będą zobligowani do aneksowania obowiązujących umów uwzględniając w nich inny sposób rozliczania </w:t>
      </w:r>
      <w:r w:rsidRPr="007A05CD">
        <w:rPr>
          <w:i/>
          <w:iCs/>
        </w:rPr>
        <w:br/>
        <w:t>(w szczególności na system net-billing), a jeśli tak to w jaki sposób/w jakim zakresie?</w:t>
      </w:r>
      <w:r w:rsidRPr="002D2A43">
        <w:t xml:space="preserve"> </w:t>
      </w:r>
    </w:p>
    <w:p w14:paraId="059F1C3B" w14:textId="77777777" w:rsidR="00CF1C01" w:rsidRPr="002D2A43" w:rsidRDefault="00CF1C01" w:rsidP="00CF5457">
      <w:pPr>
        <w:spacing w:line="276" w:lineRule="auto"/>
        <w:jc w:val="both"/>
        <w:rPr>
          <w:b/>
          <w:bCs/>
        </w:rPr>
      </w:pPr>
    </w:p>
    <w:p w14:paraId="65CFC9A2" w14:textId="44B74269" w:rsidR="00B15EC2" w:rsidRPr="007A05CD" w:rsidRDefault="00B15EC2" w:rsidP="00CF5457">
      <w:pPr>
        <w:spacing w:line="276" w:lineRule="auto"/>
        <w:jc w:val="both"/>
        <w:rPr>
          <w:u w:val="single"/>
        </w:rPr>
      </w:pPr>
      <w:r w:rsidRPr="007A05CD">
        <w:rPr>
          <w:u w:val="single"/>
        </w:rPr>
        <w:t>Odpowiedź</w:t>
      </w:r>
      <w:r w:rsidR="00B9724E" w:rsidRPr="007A05CD">
        <w:rPr>
          <w:u w:val="single"/>
        </w:rPr>
        <w:t xml:space="preserve"> </w:t>
      </w:r>
      <w:r w:rsidR="007A05CD" w:rsidRPr="007A05CD">
        <w:rPr>
          <w:u w:val="single"/>
        </w:rPr>
        <w:t xml:space="preserve">ww. </w:t>
      </w:r>
      <w:r w:rsidR="00B9724E" w:rsidRPr="007A05CD">
        <w:rPr>
          <w:u w:val="single"/>
        </w:rPr>
        <w:t>podmiotu</w:t>
      </w:r>
      <w:r w:rsidRPr="007A05CD">
        <w:rPr>
          <w:u w:val="single"/>
        </w:rPr>
        <w:t xml:space="preserve">: </w:t>
      </w:r>
    </w:p>
    <w:p w14:paraId="199CC6CF" w14:textId="785854B0" w:rsidR="005E1E10" w:rsidRPr="007A05CD" w:rsidRDefault="00B15EC2" w:rsidP="00CF5457">
      <w:pPr>
        <w:spacing w:line="276" w:lineRule="auto"/>
        <w:jc w:val="both"/>
      </w:pPr>
      <w:r w:rsidRPr="007A05CD">
        <w:t>Montaż magazynu energii dla istniejącej instalacji fotowoltaicznej nie wpływa na zmianę modelu rozliczeń i nie będzie konieczności aneksowania umowy. Aneks do umowy będzie wymagany w przypadku zmiany innych warunków technicznych tj. moc przyłączeniowa, moc umowna, grupa taryfowa, cykl rozliczeniowy itp.</w:t>
      </w:r>
    </w:p>
    <w:p w14:paraId="0FF9F23A" w14:textId="77777777" w:rsidR="00CF1C01" w:rsidRPr="002D2A43" w:rsidRDefault="00CF1C01" w:rsidP="00CF5457">
      <w:pPr>
        <w:spacing w:line="276" w:lineRule="auto"/>
        <w:jc w:val="both"/>
      </w:pPr>
    </w:p>
    <w:p w14:paraId="4317BAF5" w14:textId="7F9E64D4" w:rsidR="00CF1C01" w:rsidRPr="007A05CD" w:rsidRDefault="00CF1C01" w:rsidP="00CF5457">
      <w:pPr>
        <w:spacing w:after="160" w:line="276" w:lineRule="auto"/>
        <w:jc w:val="both"/>
        <w:rPr>
          <w:b/>
          <w:bCs/>
          <w:u w:val="single"/>
        </w:rPr>
      </w:pPr>
      <w:r w:rsidRPr="009F3A7F">
        <w:rPr>
          <w:b/>
          <w:bCs/>
          <w:highlight w:val="green"/>
          <w:u w:val="single"/>
        </w:rPr>
        <w:t>26.09.2024:</w:t>
      </w:r>
    </w:p>
    <w:p w14:paraId="0D555129" w14:textId="6E1E70C5" w:rsidR="00CF1C01" w:rsidRPr="007A05CD" w:rsidRDefault="00CF1C01" w:rsidP="00CF5457">
      <w:pPr>
        <w:spacing w:after="160" w:line="276" w:lineRule="auto"/>
        <w:jc w:val="both"/>
        <w:rPr>
          <w:i/>
          <w:iCs/>
          <w:u w:val="single"/>
        </w:rPr>
      </w:pPr>
      <w:r w:rsidRPr="00DA2018">
        <w:rPr>
          <w:i/>
          <w:iCs/>
          <w:u w:val="single"/>
        </w:rPr>
        <w:t>Pytanie</w:t>
      </w:r>
      <w:r w:rsidR="007A05CD" w:rsidRPr="00DA2018">
        <w:rPr>
          <w:i/>
          <w:iCs/>
          <w:u w:val="single"/>
        </w:rPr>
        <w:t xml:space="preserve"> 1</w:t>
      </w:r>
      <w:r w:rsidR="00ED1FCF">
        <w:rPr>
          <w:i/>
          <w:iCs/>
        </w:rPr>
        <w:t>:</w:t>
      </w:r>
      <w:r w:rsidR="007A05CD" w:rsidRPr="007A05CD">
        <w:rPr>
          <w:i/>
          <w:iCs/>
        </w:rPr>
        <w:t xml:space="preserve"> </w:t>
      </w:r>
      <w:r w:rsidRPr="007A05CD">
        <w:rPr>
          <w:i/>
          <w:iCs/>
        </w:rPr>
        <w:t>Czy w ramach tego naboru kwalifikowane będą również koszty poniesione na montaż magazynów energii w Budynkach Użyteczności Publicznej?</w:t>
      </w:r>
    </w:p>
    <w:p w14:paraId="4E2C87BD" w14:textId="3B710697" w:rsidR="00CF1C01" w:rsidRPr="006937F9" w:rsidRDefault="00CF1C01" w:rsidP="00CF5457">
      <w:pPr>
        <w:spacing w:after="160" w:line="276" w:lineRule="auto"/>
        <w:jc w:val="both"/>
        <w:rPr>
          <w:u w:val="single"/>
        </w:rPr>
      </w:pPr>
      <w:r w:rsidRPr="006937F9">
        <w:rPr>
          <w:u w:val="single"/>
        </w:rPr>
        <w:t>Odpowiedź:</w:t>
      </w:r>
    </w:p>
    <w:p w14:paraId="538338A0" w14:textId="1E6A3B42" w:rsidR="00CF1C01" w:rsidRPr="00ED1FCF" w:rsidRDefault="00CF1C01" w:rsidP="00CF5457">
      <w:pPr>
        <w:spacing w:line="276" w:lineRule="auto"/>
        <w:jc w:val="both"/>
      </w:pPr>
      <w:r w:rsidRPr="006937F9">
        <w:t xml:space="preserve">Zgodnie z zapisami </w:t>
      </w:r>
      <w:r w:rsidR="00F07DBA" w:rsidRPr="006937F9">
        <w:rPr>
          <w:i/>
          <w:iCs/>
        </w:rPr>
        <w:t>Regulaminu wyboru projektów</w:t>
      </w:r>
      <w:r w:rsidR="007A05CD">
        <w:t xml:space="preserve">, </w:t>
      </w:r>
      <w:r w:rsidR="00F07DBA" w:rsidRPr="006937F9">
        <w:t>dofinansowanie</w:t>
      </w:r>
      <w:r w:rsidR="008A2998" w:rsidRPr="006937F9">
        <w:t xml:space="preserve"> w przedmiotowym naborze </w:t>
      </w:r>
      <w:r w:rsidR="00F07DBA" w:rsidRPr="006937F9">
        <w:t xml:space="preserve">mogą uzyskać </w:t>
      </w:r>
      <w:r w:rsidR="00F07DBA" w:rsidRPr="006937F9">
        <w:rPr>
          <w:u w:val="single"/>
        </w:rPr>
        <w:t>wyłącznie</w:t>
      </w:r>
      <w:r w:rsidR="00F07DBA" w:rsidRPr="006937F9">
        <w:t xml:space="preserve"> projekty dotyczące rozbudowy już istniejących instalacji OZE (mikroinstalacji) </w:t>
      </w:r>
      <w:r w:rsidR="001C0B76" w:rsidRPr="006937F9">
        <w:t>i</w:t>
      </w:r>
      <w:r w:rsidR="00F07DBA" w:rsidRPr="006937F9">
        <w:t xml:space="preserve"> działające na ich potrzeby magazyny energii elektrycznej i/lub cieplnej. Projekty mogą być realizowane wyłącznie w formule projektów parasolowych, w których wnioskodawca będzie aplikował o dofinansowanie magazynów energii </w:t>
      </w:r>
      <w:r w:rsidR="00F07DBA" w:rsidRPr="006937F9">
        <w:rPr>
          <w:b/>
          <w:bCs/>
        </w:rPr>
        <w:t xml:space="preserve">instalowanych </w:t>
      </w:r>
      <w:r w:rsidR="00B67ABF">
        <w:rPr>
          <w:b/>
          <w:bCs/>
        </w:rPr>
        <w:br/>
      </w:r>
      <w:r w:rsidR="00F07DBA" w:rsidRPr="006937F9">
        <w:rPr>
          <w:b/>
          <w:bCs/>
        </w:rPr>
        <w:t>u odbiorców końcowych/mieszkańców</w:t>
      </w:r>
      <w:r w:rsidR="00F07DBA" w:rsidRPr="006937F9">
        <w:t xml:space="preserve"> (właściciele/prawni użytkownicy jednorodzinnych budynków mieszkalnych). Warunkiem wsparcia jest również to, aby każda rozbudowywana </w:t>
      </w:r>
      <w:r w:rsidR="00B67ABF">
        <w:br/>
      </w:r>
      <w:r w:rsidR="00F07DBA" w:rsidRPr="006937F9">
        <w:t xml:space="preserve">w ramach projektu o magazyn energii mikroinstalacja OZE wykorzystywana była przez cały okres jego realizacji, jak również trwałości </w:t>
      </w:r>
      <w:r w:rsidR="00F07DBA" w:rsidRPr="00B67ABF">
        <w:rPr>
          <w:b/>
          <w:bCs/>
          <w:u w:val="single"/>
        </w:rPr>
        <w:t>wyłącznie na potrzeby bytowe gospodarstwa domowego</w:t>
      </w:r>
      <w:r w:rsidR="00F07DBA" w:rsidRPr="006937F9">
        <w:t xml:space="preserve"> </w:t>
      </w:r>
      <w:r w:rsidR="00F07DBA" w:rsidRPr="00ED1FCF">
        <w:t>(</w:t>
      </w:r>
      <w:r w:rsidR="00F07DBA" w:rsidRPr="00B67ABF">
        <w:rPr>
          <w:u w:val="single"/>
        </w:rPr>
        <w:t>nie związane z prowadzeniem działalności gospodarczej i rolniczej</w:t>
      </w:r>
      <w:r w:rsidR="00F07DBA" w:rsidRPr="00ED1FCF">
        <w:t>).</w:t>
      </w:r>
    </w:p>
    <w:p w14:paraId="0C9DAFB3" w14:textId="77777777" w:rsidR="00F07DBA" w:rsidRDefault="00F07DBA" w:rsidP="00CF5457">
      <w:pPr>
        <w:spacing w:line="276" w:lineRule="auto"/>
        <w:jc w:val="both"/>
      </w:pPr>
    </w:p>
    <w:p w14:paraId="58327965" w14:textId="7D372DB7" w:rsidR="009E42FF" w:rsidRPr="009E42FF" w:rsidRDefault="009E42FF" w:rsidP="00CF5457">
      <w:pPr>
        <w:spacing w:after="160" w:line="276" w:lineRule="auto"/>
        <w:jc w:val="both"/>
        <w:rPr>
          <w:b/>
          <w:bCs/>
          <w:u w:val="single"/>
        </w:rPr>
      </w:pPr>
      <w:r w:rsidRPr="009F3A7F">
        <w:rPr>
          <w:b/>
          <w:bCs/>
          <w:highlight w:val="green"/>
          <w:u w:val="single"/>
        </w:rPr>
        <w:t>26.09.2024:</w:t>
      </w:r>
    </w:p>
    <w:p w14:paraId="0C18BBFE" w14:textId="36F2E6CE" w:rsidR="002A7C40" w:rsidRPr="007A05CD" w:rsidRDefault="002A7C40" w:rsidP="00CF5457">
      <w:pPr>
        <w:spacing w:after="160" w:line="276" w:lineRule="auto"/>
        <w:jc w:val="both"/>
        <w:rPr>
          <w:u w:val="single"/>
        </w:rPr>
      </w:pPr>
      <w:r w:rsidRPr="007A05CD">
        <w:rPr>
          <w:i/>
          <w:iCs/>
          <w:u w:val="single"/>
        </w:rPr>
        <w:t>Pytanie</w:t>
      </w:r>
      <w:r w:rsidR="007A05CD" w:rsidRPr="007A05CD">
        <w:rPr>
          <w:i/>
          <w:iCs/>
          <w:u w:val="single"/>
        </w:rPr>
        <w:t xml:space="preserve"> </w:t>
      </w:r>
      <w:r w:rsidR="009E42FF">
        <w:rPr>
          <w:i/>
          <w:iCs/>
          <w:u w:val="single"/>
        </w:rPr>
        <w:t>1</w:t>
      </w:r>
      <w:r w:rsidRPr="00DA2018">
        <w:rPr>
          <w:i/>
          <w:iCs/>
        </w:rPr>
        <w:t>:</w:t>
      </w:r>
      <w:r w:rsidR="007A05CD" w:rsidRPr="00DA2018">
        <w:t xml:space="preserve"> </w:t>
      </w:r>
      <w:r w:rsidRPr="007A05CD">
        <w:rPr>
          <w:i/>
          <w:iCs/>
        </w:rPr>
        <w:t>Zgodnie z zapisami regulaminu konkursu:</w:t>
      </w:r>
      <w:r w:rsidRPr="002A7C40">
        <w:t xml:space="preserve"> </w:t>
      </w:r>
      <w:r w:rsidRPr="007A05CD">
        <w:rPr>
          <w:i/>
        </w:rPr>
        <w:t xml:space="preserve">Warunkiem wsparcia jest również to, aby każda rozbudowywana w ramach projektu o magazyn energii mikroinstalacja OZE wykorzystywana była przez cały okres jego realizacji, jak również trwałości wyłącznie na potrzeby bytowe gospodarstwa domowego (nie związane z prowadzeniem działalności gospodarczej i rolniczej) </w:t>
      </w:r>
      <w:r w:rsidRPr="002A7C40">
        <w:t>chcielibyśmy dopytać</w:t>
      </w:r>
      <w:r w:rsidRPr="002D2A43">
        <w:t>,</w:t>
      </w:r>
      <w:r w:rsidRPr="002A7C40">
        <w:t xml:space="preserve"> jak będą traktowane poniższe sytuacje:</w:t>
      </w:r>
    </w:p>
    <w:p w14:paraId="4F15BA37" w14:textId="77777777" w:rsidR="002A7C40" w:rsidRPr="007A05CD" w:rsidRDefault="002A7C40" w:rsidP="00CF5457">
      <w:pPr>
        <w:pStyle w:val="Akapitzlist"/>
        <w:spacing w:line="276" w:lineRule="auto"/>
        <w:ind w:left="284"/>
        <w:jc w:val="both"/>
        <w:rPr>
          <w:i/>
          <w:iCs/>
        </w:rPr>
      </w:pPr>
      <w:r w:rsidRPr="002A7C40">
        <w:t xml:space="preserve">- </w:t>
      </w:r>
      <w:r w:rsidRPr="007A05CD">
        <w:rPr>
          <w:i/>
          <w:iCs/>
        </w:rPr>
        <w:t xml:space="preserve">beneficjent posiada wpis w </w:t>
      </w:r>
      <w:proofErr w:type="spellStart"/>
      <w:r w:rsidRPr="007A05CD">
        <w:rPr>
          <w:i/>
          <w:iCs/>
        </w:rPr>
        <w:t>CEiDG</w:t>
      </w:r>
      <w:proofErr w:type="spellEnd"/>
      <w:r w:rsidRPr="007A05CD">
        <w:rPr>
          <w:i/>
          <w:iCs/>
        </w:rPr>
        <w:t xml:space="preserve"> jako prowadzenie działalności poza adresem przedmiotowej infrastruktury np. prowadzi firmę transportową na terenie kraju i Europy. Pod adresem nie jest prowadzona działalność gospodarcza – firma jest tylko zarejestrowana na danym adresie. </w:t>
      </w:r>
    </w:p>
    <w:p w14:paraId="2BF0B84C" w14:textId="6EFF315D" w:rsidR="002A7C40" w:rsidRPr="007A05CD" w:rsidRDefault="002A7C40" w:rsidP="00CF5457">
      <w:pPr>
        <w:pStyle w:val="Akapitzlist"/>
        <w:spacing w:line="276" w:lineRule="auto"/>
        <w:ind w:left="284"/>
        <w:jc w:val="both"/>
        <w:rPr>
          <w:i/>
          <w:iCs/>
        </w:rPr>
      </w:pPr>
      <w:r w:rsidRPr="007A05CD">
        <w:rPr>
          <w:i/>
          <w:iCs/>
        </w:rPr>
        <w:lastRenderedPageBreak/>
        <w:t>Czy w takim przypadku mieszkaniec może brać udział w projekcie?</w:t>
      </w:r>
    </w:p>
    <w:p w14:paraId="4CDAF7DA" w14:textId="77777777" w:rsidR="002A7C40" w:rsidRPr="007A05CD" w:rsidRDefault="002A7C40" w:rsidP="00CF5457">
      <w:pPr>
        <w:pStyle w:val="Akapitzlist"/>
        <w:spacing w:after="120" w:line="276" w:lineRule="auto"/>
        <w:ind w:left="284"/>
        <w:contextualSpacing w:val="0"/>
        <w:jc w:val="both"/>
        <w:rPr>
          <w:i/>
          <w:iCs/>
        </w:rPr>
      </w:pPr>
      <w:r w:rsidRPr="007A05CD">
        <w:rPr>
          <w:i/>
          <w:iCs/>
        </w:rPr>
        <w:t xml:space="preserve">- beneficjent posiada wpis w </w:t>
      </w:r>
      <w:proofErr w:type="spellStart"/>
      <w:r w:rsidRPr="007A05CD">
        <w:rPr>
          <w:i/>
          <w:iCs/>
        </w:rPr>
        <w:t>CEiDG</w:t>
      </w:r>
      <w:proofErr w:type="spellEnd"/>
      <w:r w:rsidRPr="007A05CD">
        <w:rPr>
          <w:i/>
          <w:iCs/>
        </w:rPr>
        <w:t xml:space="preserve"> i prowadzi działalność gospodarczą, ale posiada dwa odrębne liczniki tj. licznik na budynku mieszkalnym i licznik na działalność gospodarczą. </w:t>
      </w:r>
      <w:r w:rsidRPr="007A05CD">
        <w:rPr>
          <w:i/>
          <w:iCs/>
        </w:rPr>
        <w:br/>
        <w:t>Czy w takim przypadku mieszkaniec może brać udział w projekcie?</w:t>
      </w:r>
    </w:p>
    <w:p w14:paraId="416165DF" w14:textId="4E15815F" w:rsidR="002A7C40" w:rsidRPr="002D2A43" w:rsidRDefault="002A7C40" w:rsidP="00CF5457">
      <w:pPr>
        <w:spacing w:after="120" w:line="276" w:lineRule="auto"/>
        <w:jc w:val="both"/>
        <w:rPr>
          <w:u w:val="single"/>
        </w:rPr>
      </w:pPr>
      <w:r w:rsidRPr="002D2A43">
        <w:rPr>
          <w:u w:val="single"/>
        </w:rPr>
        <w:t>Odpowiedź:</w:t>
      </w:r>
    </w:p>
    <w:p w14:paraId="5F7F64B0" w14:textId="083DDC69" w:rsidR="005A3708" w:rsidRPr="005A3708" w:rsidRDefault="002A7C40" w:rsidP="00CF5457">
      <w:pPr>
        <w:spacing w:after="120" w:line="276" w:lineRule="auto"/>
        <w:jc w:val="both"/>
      </w:pPr>
      <w:r w:rsidRPr="005A3708">
        <w:t xml:space="preserve">Zgodnie z zapisami </w:t>
      </w:r>
      <w:r w:rsidRPr="005A3708">
        <w:rPr>
          <w:i/>
          <w:iCs/>
        </w:rPr>
        <w:t>Regulaminu wyboru projektów</w:t>
      </w:r>
      <w:r w:rsidR="007A05CD">
        <w:t xml:space="preserve">, </w:t>
      </w:r>
      <w:r w:rsidR="00957381" w:rsidRPr="005A3708">
        <w:t xml:space="preserve">podmiotami uprawnionymi do złożenia wniosku o dofinasowanie </w:t>
      </w:r>
      <w:r w:rsidR="005A3708">
        <w:t xml:space="preserve">(wnioskodawcami) </w:t>
      </w:r>
      <w:r w:rsidR="005A3708" w:rsidRPr="005A3708">
        <w:t xml:space="preserve">w przedmiotowym naborze </w:t>
      </w:r>
      <w:r w:rsidR="00957381" w:rsidRPr="005A3708">
        <w:t xml:space="preserve">są: </w:t>
      </w:r>
      <w:r w:rsidR="00C874C1" w:rsidRPr="005A3708">
        <w:t>jednostk</w:t>
      </w:r>
      <w:r w:rsidR="00957381" w:rsidRPr="005A3708">
        <w:t>i samorządu terytorialnego szczebla gminnego, ich jednostki organizacyjne bądź związki, stowarzyszenia lub porozumienia tych JST</w:t>
      </w:r>
      <w:r w:rsidR="00C874C1" w:rsidRPr="005A3708">
        <w:t>.</w:t>
      </w:r>
      <w:r w:rsidR="00957381" w:rsidRPr="005A3708">
        <w:t xml:space="preserve"> </w:t>
      </w:r>
      <w:r w:rsidR="00C874C1" w:rsidRPr="005A3708">
        <w:t>O</w:t>
      </w:r>
      <w:r w:rsidRPr="005A3708">
        <w:t>dbiorc</w:t>
      </w:r>
      <w:r w:rsidR="00957381" w:rsidRPr="005A3708">
        <w:t xml:space="preserve">ę </w:t>
      </w:r>
      <w:r w:rsidRPr="005A3708">
        <w:t>końcow</w:t>
      </w:r>
      <w:r w:rsidR="00957381" w:rsidRPr="005A3708">
        <w:t>ego</w:t>
      </w:r>
      <w:r w:rsidRPr="005A3708">
        <w:t xml:space="preserve"> </w:t>
      </w:r>
      <w:r w:rsidR="00905AB3" w:rsidRPr="005A3708">
        <w:t>projektu, któremu udzielone zostanie wsparcie</w:t>
      </w:r>
      <w:r w:rsidR="00957381" w:rsidRPr="005A3708">
        <w:t xml:space="preserve"> wybiera w drodze </w:t>
      </w:r>
      <w:r w:rsidR="005A3708">
        <w:t xml:space="preserve">otwartego przejrzystego, rzetelnego i bezstronnego, zapewniającego równe traktowanie podmiotów </w:t>
      </w:r>
      <w:r w:rsidR="00957381" w:rsidRPr="005A3708">
        <w:t xml:space="preserve">naboru </w:t>
      </w:r>
      <w:r w:rsidR="00C874C1" w:rsidRPr="005A3708">
        <w:rPr>
          <w:u w:val="single"/>
        </w:rPr>
        <w:t>wnioskodawca uprawniony do złożenia wniosku o dofinasowanie</w:t>
      </w:r>
      <w:r w:rsidR="00C874C1" w:rsidRPr="005A3708">
        <w:t>.</w:t>
      </w:r>
    </w:p>
    <w:p w14:paraId="66E19A8A" w14:textId="1737FE98" w:rsidR="002A7C40" w:rsidRPr="009E42FF" w:rsidRDefault="005A3708" w:rsidP="00CF5457">
      <w:pPr>
        <w:spacing w:after="120" w:line="276" w:lineRule="auto"/>
        <w:jc w:val="both"/>
      </w:pPr>
      <w:r w:rsidRPr="00BA73B7">
        <w:t>Samo p</w:t>
      </w:r>
      <w:r w:rsidR="00905AB3" w:rsidRPr="00BA73B7">
        <w:t xml:space="preserve">rowadzenia działalności gospodarczej i </w:t>
      </w:r>
      <w:r w:rsidRPr="00BA73B7">
        <w:t>gospodarstwa domowego</w:t>
      </w:r>
      <w:r w:rsidR="00905AB3" w:rsidRPr="00BA73B7">
        <w:t xml:space="preserve"> pod </w:t>
      </w:r>
      <w:r w:rsidRPr="00BA73B7">
        <w:t>wspólnym</w:t>
      </w:r>
      <w:r w:rsidR="00905AB3" w:rsidRPr="00BA73B7">
        <w:t xml:space="preserve"> adresem, </w:t>
      </w:r>
      <w:r w:rsidRPr="00BA73B7">
        <w:t>przy jednoczesnym</w:t>
      </w:r>
      <w:r w:rsidR="00905AB3" w:rsidRPr="00BA73B7">
        <w:t xml:space="preserve"> posiadani</w:t>
      </w:r>
      <w:r w:rsidRPr="00BA73B7">
        <w:t>u</w:t>
      </w:r>
      <w:r w:rsidR="00905AB3" w:rsidRPr="00BA73B7">
        <w:t xml:space="preserve"> odrębn</w:t>
      </w:r>
      <w:r w:rsidRPr="00BA73B7">
        <w:t>ej instalacji i opomiarowania za pomocą</w:t>
      </w:r>
      <w:r w:rsidR="00905AB3" w:rsidRPr="00BA73B7">
        <w:t xml:space="preserve"> liczników</w:t>
      </w:r>
      <w:r w:rsidR="00BA73B7" w:rsidRPr="00BA73B7">
        <w:t xml:space="preserve"> na cele mieszkaniowe/bytowe gospodarstwa domowego</w:t>
      </w:r>
      <w:r w:rsidRPr="00BA73B7">
        <w:t xml:space="preserve">, pozwalające w sposób </w:t>
      </w:r>
      <w:r w:rsidRPr="009E42FF">
        <w:t xml:space="preserve">jednoznaczny </w:t>
      </w:r>
      <w:r w:rsidR="00957381" w:rsidRPr="009E42FF">
        <w:t>udokumentowa</w:t>
      </w:r>
      <w:r w:rsidRPr="009E42FF">
        <w:t xml:space="preserve">ć </w:t>
      </w:r>
      <w:r w:rsidR="00CD1401" w:rsidRPr="009E42FF">
        <w:t>ilość</w:t>
      </w:r>
      <w:r w:rsidRPr="009E42FF">
        <w:t xml:space="preserve"> </w:t>
      </w:r>
      <w:r w:rsidR="00CD1401" w:rsidRPr="009E42FF">
        <w:t>wy</w:t>
      </w:r>
      <w:r w:rsidRPr="009E42FF">
        <w:t xml:space="preserve">produkowanej </w:t>
      </w:r>
      <w:r w:rsidR="006937F9" w:rsidRPr="009E42FF">
        <w:t>i zuży</w:t>
      </w:r>
      <w:r w:rsidR="00CD1401" w:rsidRPr="009E42FF">
        <w:t>tej</w:t>
      </w:r>
      <w:r w:rsidR="006937F9" w:rsidRPr="009E42FF">
        <w:t xml:space="preserve"> </w:t>
      </w:r>
      <w:r w:rsidRPr="009E42FF">
        <w:t>na cele mieszkaniowe/</w:t>
      </w:r>
      <w:proofErr w:type="gramStart"/>
      <w:r w:rsidRPr="009E42FF">
        <w:t>bytowe</w:t>
      </w:r>
      <w:r w:rsidR="009E42FF">
        <w:t xml:space="preserve"> </w:t>
      </w:r>
      <w:r w:rsidR="00C874C1" w:rsidRPr="009E42FF">
        <w:t>energii</w:t>
      </w:r>
      <w:proofErr w:type="gramEnd"/>
      <w:r w:rsidRPr="009E42FF">
        <w:t>,</w:t>
      </w:r>
      <w:r w:rsidR="00C874C1" w:rsidRPr="009E42FF">
        <w:t xml:space="preserve"> </w:t>
      </w:r>
      <w:r w:rsidRPr="009E42FF">
        <w:t xml:space="preserve">co do zasady </w:t>
      </w:r>
      <w:r w:rsidR="00905AB3" w:rsidRPr="009E42FF">
        <w:t>nie wyklucza z udziału w projekcie.</w:t>
      </w:r>
    </w:p>
    <w:p w14:paraId="0C0EF3CD" w14:textId="055B0F29" w:rsidR="00ED1FCF" w:rsidRPr="00ED1FCF" w:rsidRDefault="00ED1FCF" w:rsidP="00CF5457">
      <w:pPr>
        <w:spacing w:line="276" w:lineRule="auto"/>
        <w:jc w:val="both"/>
        <w:rPr>
          <w:b/>
          <w:bCs/>
          <w:u w:val="single"/>
        </w:rPr>
      </w:pPr>
      <w:r>
        <w:t>Należy pamiętać, że w</w:t>
      </w:r>
      <w:r w:rsidRPr="006937F9">
        <w:t xml:space="preserve">arunkiem wsparcia jest </w:t>
      </w:r>
      <w:r>
        <w:t>także</w:t>
      </w:r>
      <w:r w:rsidRPr="006937F9">
        <w:t xml:space="preserve"> to, aby każda rozbudowywana w ramach projektu o magazyn energii mikroinstalacja OZE wykorzystywana była przez cały okres jego realizacji, jak również trwałości </w:t>
      </w:r>
      <w:r w:rsidRPr="006937F9">
        <w:rPr>
          <w:u w:val="single"/>
        </w:rPr>
        <w:t>wyłącznie na potrzeby bytowe gospodarstwa domowego</w:t>
      </w:r>
      <w:r w:rsidRPr="006937F9">
        <w:t xml:space="preserve"> </w:t>
      </w:r>
      <w:r w:rsidRPr="00ED1FCF">
        <w:rPr>
          <w:b/>
          <w:bCs/>
          <w:u w:val="single"/>
        </w:rPr>
        <w:t>(nie związane z prowadzeniem działalności gospodarczej i rolniczej</w:t>
      </w:r>
      <w:r w:rsidRPr="00ED1FCF">
        <w:rPr>
          <w:b/>
          <w:bCs/>
        </w:rPr>
        <w:t>).</w:t>
      </w:r>
    </w:p>
    <w:p w14:paraId="09D8F8AA" w14:textId="77777777" w:rsidR="00ED1FCF" w:rsidRPr="005A3708" w:rsidRDefault="00ED1FCF" w:rsidP="00CF5457">
      <w:pPr>
        <w:spacing w:after="120" w:line="276" w:lineRule="auto"/>
        <w:jc w:val="both"/>
      </w:pPr>
    </w:p>
    <w:p w14:paraId="4F465DFA" w14:textId="50668A08" w:rsidR="00905AB3" w:rsidRPr="007A05CD" w:rsidRDefault="00905AB3" w:rsidP="00CF5457">
      <w:pPr>
        <w:spacing w:line="276" w:lineRule="auto"/>
        <w:jc w:val="both"/>
        <w:rPr>
          <w:i/>
          <w:iCs/>
        </w:rPr>
      </w:pPr>
      <w:r w:rsidRPr="00ED1FCF">
        <w:rPr>
          <w:i/>
          <w:iCs/>
          <w:u w:val="single"/>
        </w:rPr>
        <w:t>Pytanie</w:t>
      </w:r>
      <w:r w:rsidR="007A05CD" w:rsidRPr="00ED1FCF">
        <w:rPr>
          <w:i/>
          <w:iCs/>
          <w:u w:val="single"/>
        </w:rPr>
        <w:t xml:space="preserve"> </w:t>
      </w:r>
      <w:r w:rsidR="009E42FF">
        <w:rPr>
          <w:i/>
          <w:iCs/>
          <w:u w:val="single"/>
        </w:rPr>
        <w:t>2</w:t>
      </w:r>
      <w:r w:rsidR="007A05CD" w:rsidRPr="00ED1FCF">
        <w:rPr>
          <w:i/>
          <w:iCs/>
        </w:rPr>
        <w:t>.</w:t>
      </w:r>
      <w:r w:rsidR="007A05CD" w:rsidRPr="007A05CD">
        <w:rPr>
          <w:i/>
          <w:iCs/>
        </w:rPr>
        <w:t xml:space="preserve"> </w:t>
      </w:r>
      <w:r w:rsidRPr="007A05CD">
        <w:rPr>
          <w:i/>
          <w:iCs/>
        </w:rPr>
        <w:t xml:space="preserve">Czy działalność rolnicza pozwala ubiegać się o dofinansowanie? </w:t>
      </w:r>
    </w:p>
    <w:p w14:paraId="2E1B7C04" w14:textId="59901B62" w:rsidR="00905AB3" w:rsidRPr="007A05CD" w:rsidRDefault="00905AB3" w:rsidP="00CF5457">
      <w:pPr>
        <w:spacing w:after="120" w:line="276" w:lineRule="auto"/>
        <w:jc w:val="both"/>
        <w:rPr>
          <w:i/>
          <w:iCs/>
        </w:rPr>
      </w:pPr>
      <w:r w:rsidRPr="007A05CD">
        <w:rPr>
          <w:i/>
          <w:iCs/>
        </w:rPr>
        <w:t>Czy w takim przypadku mieszkaniec może brać udział w projekcie?</w:t>
      </w:r>
    </w:p>
    <w:p w14:paraId="6554FB0C" w14:textId="29388528" w:rsidR="00905AB3" w:rsidRDefault="00905AB3" w:rsidP="00CF5457">
      <w:pPr>
        <w:spacing w:after="120" w:line="276" w:lineRule="auto"/>
        <w:jc w:val="both"/>
        <w:rPr>
          <w:u w:val="single"/>
        </w:rPr>
      </w:pPr>
      <w:r w:rsidRPr="002D2A43">
        <w:rPr>
          <w:u w:val="single"/>
        </w:rPr>
        <w:t>Odpowiedź:</w:t>
      </w:r>
    </w:p>
    <w:p w14:paraId="05AB8118" w14:textId="198EB107" w:rsidR="006937F9" w:rsidRPr="007A05CD" w:rsidRDefault="007A05CD" w:rsidP="00CF5457">
      <w:pPr>
        <w:spacing w:after="120" w:line="276" w:lineRule="auto"/>
        <w:jc w:val="both"/>
      </w:pPr>
      <w:bookmarkStart w:id="1" w:name="_Hlk178331976"/>
      <w:r w:rsidRPr="007A05CD">
        <w:t xml:space="preserve">Odpowiedź </w:t>
      </w:r>
      <w:r w:rsidR="009F4486">
        <w:t>zawiera się w odpowiedzi na</w:t>
      </w:r>
      <w:r w:rsidRPr="007A05CD">
        <w:t xml:space="preserve"> pytani</w:t>
      </w:r>
      <w:r w:rsidR="009F4486">
        <w:t>e</w:t>
      </w:r>
      <w:r w:rsidRPr="007A05CD">
        <w:t xml:space="preserve"> nr </w:t>
      </w:r>
      <w:r w:rsidR="009E42FF">
        <w:t>1</w:t>
      </w:r>
      <w:r w:rsidRPr="007A05CD">
        <w:t xml:space="preserve"> – powyżej. </w:t>
      </w:r>
    </w:p>
    <w:bookmarkEnd w:id="1"/>
    <w:p w14:paraId="5BCA0B3A" w14:textId="74DCDE10" w:rsidR="00C874C1" w:rsidRPr="00ED1FCF" w:rsidRDefault="00C874C1" w:rsidP="00CF5457">
      <w:pPr>
        <w:spacing w:after="120" w:line="276" w:lineRule="auto"/>
        <w:jc w:val="both"/>
        <w:rPr>
          <w:i/>
          <w:u w:val="single"/>
        </w:rPr>
      </w:pPr>
      <w:r w:rsidRPr="00ED1FCF">
        <w:rPr>
          <w:i/>
          <w:iCs/>
          <w:u w:val="single"/>
        </w:rPr>
        <w:t>Pytanie</w:t>
      </w:r>
      <w:r w:rsidR="00ED1FCF" w:rsidRPr="00ED1FCF">
        <w:rPr>
          <w:i/>
          <w:iCs/>
          <w:u w:val="single"/>
        </w:rPr>
        <w:t xml:space="preserve"> </w:t>
      </w:r>
      <w:r w:rsidR="009E42FF">
        <w:rPr>
          <w:i/>
          <w:iCs/>
          <w:u w:val="single"/>
        </w:rPr>
        <w:t>3</w:t>
      </w:r>
      <w:r w:rsidR="00ED1FCF" w:rsidRPr="00ED1FCF">
        <w:rPr>
          <w:i/>
          <w:iCs/>
        </w:rPr>
        <w:t>:</w:t>
      </w:r>
      <w:r w:rsidR="00ED1FCF" w:rsidRPr="00ED1FCF">
        <w:t xml:space="preserve"> </w:t>
      </w:r>
      <w:r w:rsidRPr="00ED1FCF">
        <w:rPr>
          <w:i/>
        </w:rPr>
        <w:t xml:space="preserve">Czy działalność rolnicza na </w:t>
      </w:r>
      <w:proofErr w:type="spellStart"/>
      <w:r w:rsidRPr="00ED1FCF">
        <w:rPr>
          <w:i/>
        </w:rPr>
        <w:t>VATcie</w:t>
      </w:r>
      <w:proofErr w:type="spellEnd"/>
      <w:r w:rsidRPr="00ED1FCF">
        <w:rPr>
          <w:i/>
        </w:rPr>
        <w:t xml:space="preserve"> tzw. </w:t>
      </w:r>
      <w:proofErr w:type="spellStart"/>
      <w:r w:rsidRPr="00ED1FCF">
        <w:rPr>
          <w:i/>
        </w:rPr>
        <w:t>VATowcy</w:t>
      </w:r>
      <w:proofErr w:type="spellEnd"/>
      <w:r w:rsidRPr="00ED1FCF">
        <w:rPr>
          <w:i/>
        </w:rPr>
        <w:t xml:space="preserve"> mogą ubiegać się o dofinansowanie?</w:t>
      </w:r>
    </w:p>
    <w:p w14:paraId="5B981ECC" w14:textId="77777777" w:rsidR="00C874C1" w:rsidRPr="002D2A43" w:rsidRDefault="00C874C1" w:rsidP="00CF5457">
      <w:pPr>
        <w:spacing w:after="120" w:line="276" w:lineRule="auto"/>
        <w:jc w:val="both"/>
        <w:rPr>
          <w:u w:val="single"/>
        </w:rPr>
      </w:pPr>
      <w:r w:rsidRPr="002D2A43">
        <w:rPr>
          <w:u w:val="single"/>
        </w:rPr>
        <w:t>Odpowiedź:</w:t>
      </w:r>
    </w:p>
    <w:p w14:paraId="3AA6D9F5" w14:textId="3A790D7F" w:rsidR="007A05CD" w:rsidRPr="007A05CD" w:rsidRDefault="009F4486" w:rsidP="00CF5457">
      <w:pPr>
        <w:spacing w:after="120" w:line="276" w:lineRule="auto"/>
        <w:jc w:val="both"/>
      </w:pPr>
      <w:bookmarkStart w:id="2" w:name="_Hlk178599403"/>
      <w:r w:rsidRPr="007A05CD">
        <w:t xml:space="preserve">Odpowiedź </w:t>
      </w:r>
      <w:r>
        <w:t>zawiera się w odpowiedzi na</w:t>
      </w:r>
      <w:r w:rsidRPr="007A05CD">
        <w:t xml:space="preserve"> pytani</w:t>
      </w:r>
      <w:r>
        <w:t>e</w:t>
      </w:r>
      <w:r w:rsidRPr="007A05CD">
        <w:t xml:space="preserve"> nr </w:t>
      </w:r>
      <w:bookmarkEnd w:id="2"/>
      <w:r>
        <w:t>1</w:t>
      </w:r>
      <w:r w:rsidRPr="007A05CD">
        <w:t xml:space="preserve"> – powyżej. </w:t>
      </w:r>
    </w:p>
    <w:p w14:paraId="28F379F3" w14:textId="4521ADA8" w:rsidR="00C874C1" w:rsidRPr="00ED1FCF" w:rsidRDefault="00C874C1" w:rsidP="00CF5457">
      <w:pPr>
        <w:spacing w:after="120" w:line="276" w:lineRule="auto"/>
        <w:jc w:val="both"/>
        <w:rPr>
          <w:u w:val="single"/>
        </w:rPr>
      </w:pPr>
      <w:r w:rsidRPr="00ED1FCF">
        <w:rPr>
          <w:i/>
          <w:iCs/>
          <w:u w:val="single"/>
        </w:rPr>
        <w:t>Pytanie</w:t>
      </w:r>
      <w:r w:rsidR="00ED1FCF" w:rsidRPr="00ED1FCF">
        <w:rPr>
          <w:i/>
          <w:iCs/>
          <w:u w:val="single"/>
        </w:rPr>
        <w:t xml:space="preserve"> </w:t>
      </w:r>
      <w:r w:rsidR="009E42FF">
        <w:rPr>
          <w:i/>
          <w:iCs/>
          <w:u w:val="single"/>
        </w:rPr>
        <w:t>4</w:t>
      </w:r>
      <w:r w:rsidR="00ED1FCF" w:rsidRPr="00ED1FCF">
        <w:rPr>
          <w:i/>
          <w:iCs/>
        </w:rPr>
        <w:t>:</w:t>
      </w:r>
      <w:r w:rsidR="00ED1FCF" w:rsidRPr="00ED1FCF">
        <w:t xml:space="preserve"> </w:t>
      </w:r>
      <w:r w:rsidRPr="00ED1FCF">
        <w:rPr>
          <w:i/>
          <w:iCs/>
        </w:rPr>
        <w:t>Czy mieszkaniec posiadający działalność agroturystyczną może ubiegać się o dofinansowanie?</w:t>
      </w:r>
      <w:r w:rsidRPr="002D2A43">
        <w:t xml:space="preserve"> </w:t>
      </w:r>
    </w:p>
    <w:p w14:paraId="2A3EF240" w14:textId="3AE779EE" w:rsidR="00C874C1" w:rsidRPr="002D2A43" w:rsidRDefault="00C874C1" w:rsidP="00CF5457">
      <w:pPr>
        <w:spacing w:after="120" w:line="276" w:lineRule="auto"/>
        <w:jc w:val="both"/>
        <w:rPr>
          <w:u w:val="single"/>
        </w:rPr>
      </w:pPr>
      <w:r w:rsidRPr="002D2A43">
        <w:rPr>
          <w:u w:val="single"/>
        </w:rPr>
        <w:t>Odpowiedź:</w:t>
      </w:r>
    </w:p>
    <w:p w14:paraId="510785D8" w14:textId="77777777" w:rsidR="009F4486" w:rsidRPr="007A05CD" w:rsidRDefault="009F4486" w:rsidP="009F4486">
      <w:pPr>
        <w:spacing w:after="120" w:line="276" w:lineRule="auto"/>
        <w:jc w:val="both"/>
      </w:pPr>
      <w:r w:rsidRPr="007A05CD">
        <w:t xml:space="preserve">Odpowiedź </w:t>
      </w:r>
      <w:r>
        <w:t>zawiera się w odpowiedzi na</w:t>
      </w:r>
      <w:r w:rsidRPr="007A05CD">
        <w:t xml:space="preserve"> pytani</w:t>
      </w:r>
      <w:r>
        <w:t>e</w:t>
      </w:r>
      <w:r w:rsidRPr="007A05CD">
        <w:t xml:space="preserve"> nr </w:t>
      </w:r>
      <w:r>
        <w:t>1</w:t>
      </w:r>
      <w:r w:rsidRPr="007A05CD">
        <w:t xml:space="preserve"> – powyżej. </w:t>
      </w:r>
    </w:p>
    <w:p w14:paraId="1B860C28" w14:textId="6377A0A1" w:rsidR="002D2A43" w:rsidRPr="00ED1FCF" w:rsidRDefault="002D2A43" w:rsidP="00CF5457">
      <w:pPr>
        <w:spacing w:after="120" w:line="276" w:lineRule="auto"/>
        <w:jc w:val="both"/>
        <w:rPr>
          <w:u w:val="single"/>
        </w:rPr>
      </w:pPr>
      <w:r w:rsidRPr="00ED1FCF">
        <w:rPr>
          <w:i/>
          <w:iCs/>
          <w:u w:val="single"/>
        </w:rPr>
        <w:t>Pytanie</w:t>
      </w:r>
      <w:r w:rsidR="00ED1FCF" w:rsidRPr="00ED1FCF">
        <w:rPr>
          <w:i/>
          <w:iCs/>
          <w:u w:val="single"/>
        </w:rPr>
        <w:t xml:space="preserve"> </w:t>
      </w:r>
      <w:r w:rsidR="009E42FF">
        <w:rPr>
          <w:i/>
          <w:iCs/>
          <w:u w:val="single"/>
        </w:rPr>
        <w:t>5</w:t>
      </w:r>
      <w:r w:rsidR="00ED1FCF" w:rsidRPr="00ED1FCF">
        <w:rPr>
          <w:i/>
          <w:iCs/>
        </w:rPr>
        <w:t>:</w:t>
      </w:r>
      <w:r w:rsidR="00ED1FCF" w:rsidRPr="00ED1FCF">
        <w:t xml:space="preserve"> </w:t>
      </w:r>
      <w:r w:rsidRPr="00ED1FCF">
        <w:rPr>
          <w:i/>
          <w:iCs/>
        </w:rPr>
        <w:t xml:space="preserve">Czy zakup inwertera hybrydowego lub </w:t>
      </w:r>
      <w:proofErr w:type="spellStart"/>
      <w:r w:rsidRPr="00ED1FCF">
        <w:rPr>
          <w:i/>
          <w:iCs/>
        </w:rPr>
        <w:t>retrofitowego</w:t>
      </w:r>
      <w:proofErr w:type="spellEnd"/>
      <w:r w:rsidRPr="00ED1FCF">
        <w:rPr>
          <w:i/>
          <w:iCs/>
        </w:rPr>
        <w:t xml:space="preserve"> jest kosztem kwalifikowanym</w:t>
      </w:r>
      <w:r w:rsidRPr="002D2A43">
        <w:t>?</w:t>
      </w:r>
    </w:p>
    <w:p w14:paraId="5DEA8599" w14:textId="73DA1951" w:rsidR="002D2A43" w:rsidRPr="002D2A43" w:rsidRDefault="002D2A43" w:rsidP="00CF5457">
      <w:pPr>
        <w:spacing w:after="120" w:line="276" w:lineRule="auto"/>
        <w:jc w:val="both"/>
        <w:rPr>
          <w:u w:val="single"/>
        </w:rPr>
      </w:pPr>
      <w:r w:rsidRPr="002D2A43">
        <w:rPr>
          <w:u w:val="single"/>
        </w:rPr>
        <w:t>Odpowiedź:</w:t>
      </w:r>
    </w:p>
    <w:p w14:paraId="7958CFD9" w14:textId="4BCBD146" w:rsidR="009F4486" w:rsidRDefault="009F4486" w:rsidP="009F4486">
      <w:pPr>
        <w:widowControl w:val="0"/>
        <w:suppressAutoHyphens/>
        <w:autoSpaceDN w:val="0"/>
        <w:spacing w:line="276" w:lineRule="auto"/>
        <w:jc w:val="both"/>
        <w:textAlignment w:val="baseline"/>
      </w:pPr>
      <w:bookmarkStart w:id="3" w:name="_Hlk178598551"/>
      <w:r>
        <w:t xml:space="preserve">Zgodnie z zapisami punktu 17.1 </w:t>
      </w:r>
      <w:r w:rsidRPr="003829F7">
        <w:rPr>
          <w:i/>
          <w:iCs/>
        </w:rPr>
        <w:t>Regulaminu wyboru projektów</w:t>
      </w:r>
      <w:r w:rsidR="003829F7">
        <w:t xml:space="preserve">, </w:t>
      </w:r>
      <w:r>
        <w:t xml:space="preserve">zadawane pytania nie mogą dotyczyć kwestii rozstrzygających w zakresie oceny wniosku i jej wyniku oraz konkretnych </w:t>
      </w:r>
      <w:proofErr w:type="gramStart"/>
      <w:r>
        <w:lastRenderedPageBreak/>
        <w:t>zapisów</w:t>
      </w:r>
      <w:r w:rsidR="003829F7">
        <w:t>,</w:t>
      </w:r>
      <w:proofErr w:type="gramEnd"/>
      <w:r>
        <w:t xml:space="preserve"> czy rozwiązań zastosowanych w danym projekcie, celem ich wstępnej oceny. Ocena pod kątem spełniania kryteriów wyboru projektów należy do ustawowej kompetencji KOP </w:t>
      </w:r>
      <w:r>
        <w:br/>
        <w:t>i może być dokonywana wyłącznie przez nią i wyłącznie na tym etapie. Odpowiedź udzielana na zadawane pytania przez IZ FEŚ nie jest równoznaczna z wynikiem oceny wniosku i nie może stanowić podstawy do roszczeń w stosunku do KOP, co do późniejszych rozstrzygnięć dokonywanych na etapie oceny i wyboru projektów do dofinansowania w oparciu o pełną złożoną dokumentację aplikacyjną konkretnego projektu.</w:t>
      </w:r>
    </w:p>
    <w:p w14:paraId="4EC3FA8C" w14:textId="1B1753CB" w:rsidR="009E42FF" w:rsidRDefault="009F4486" w:rsidP="00CF5457">
      <w:pPr>
        <w:widowControl w:val="0"/>
        <w:suppressAutoHyphens/>
        <w:autoSpaceDN w:val="0"/>
        <w:spacing w:line="276" w:lineRule="auto"/>
        <w:jc w:val="both"/>
        <w:textAlignment w:val="baseline"/>
      </w:pPr>
      <w:r>
        <w:t xml:space="preserve">Pomocniczo jednak </w:t>
      </w:r>
      <w:bookmarkEnd w:id="3"/>
      <w:r>
        <w:t xml:space="preserve">należy zwrócić uwagę, iż </w:t>
      </w:r>
      <w:r w:rsidR="009E42FF">
        <w:t xml:space="preserve">wymiana inwertera </w:t>
      </w:r>
      <w:r>
        <w:t xml:space="preserve">funkcjonującego </w:t>
      </w:r>
      <w:r w:rsidR="003829F7">
        <w:t xml:space="preserve">dotychczas </w:t>
      </w:r>
      <w:r>
        <w:t>w ramach instalacji OZE</w:t>
      </w:r>
      <w:r w:rsidR="00735E8F">
        <w:t xml:space="preserve"> (również</w:t>
      </w:r>
      <w:r w:rsidRPr="009F4486">
        <w:t xml:space="preserve"> </w:t>
      </w:r>
      <w:r w:rsidR="003829F7">
        <w:t xml:space="preserve">tego </w:t>
      </w:r>
      <w:r>
        <w:t>dofinansowane</w:t>
      </w:r>
      <w:r w:rsidR="00735E8F">
        <w:t>go</w:t>
      </w:r>
      <w:r>
        <w:t xml:space="preserve"> wcześniej środkami </w:t>
      </w:r>
      <w:r w:rsidR="0055108E">
        <w:t>zewnętrznymi</w:t>
      </w:r>
      <w:r w:rsidR="00735E8F">
        <w:t>)</w:t>
      </w:r>
      <w:r>
        <w:t xml:space="preserve"> na tzw.</w:t>
      </w:r>
      <w:r w:rsidR="00696E8E">
        <w:t xml:space="preserve"> inwerter hybrydowy</w:t>
      </w:r>
      <w:r>
        <w:t xml:space="preserve">, umożliwiający </w:t>
      </w:r>
      <w:r w:rsidR="00735E8F">
        <w:t xml:space="preserve">dodatkowo </w:t>
      </w:r>
      <w:r>
        <w:t>obsługę magazynu energii, stwarza ryzyko naruszenia trwałości wcześniej dofinansowanego projektu</w:t>
      </w:r>
      <w:r w:rsidR="003829F7">
        <w:t>, jeśli instalacja realizowana była w ramach takiego projektu</w:t>
      </w:r>
      <w:r>
        <w:t xml:space="preserve"> oraz </w:t>
      </w:r>
      <w:r w:rsidR="0055108E">
        <w:t xml:space="preserve">potencjalne </w:t>
      </w:r>
      <w:r>
        <w:t xml:space="preserve">ryzyko </w:t>
      </w:r>
      <w:r w:rsidR="00735E8F">
        <w:t xml:space="preserve">wystąpienia </w:t>
      </w:r>
      <w:r>
        <w:t>podwójnego finansowania</w:t>
      </w:r>
      <w:r w:rsidR="00696E8E">
        <w:t>.</w:t>
      </w:r>
      <w:r w:rsidR="0055108E">
        <w:t xml:space="preserve"> </w:t>
      </w:r>
      <w:r w:rsidR="00735E8F">
        <w:t>Dodatkowo</w:t>
      </w:r>
      <w:r w:rsidR="0055108E">
        <w:t xml:space="preserve">, jeśli istnieje techniczna możliwość rozbudowy </w:t>
      </w:r>
      <w:r w:rsidR="00735E8F">
        <w:t xml:space="preserve">stanowiącego element instalacji OZE </w:t>
      </w:r>
      <w:r w:rsidR="0055108E">
        <w:t>inwertera poprzez uzbrojenie go w funkcję obsługi magazynu energii</w:t>
      </w:r>
      <w:r w:rsidR="00735E8F">
        <w:t>, bez względu na źródło sfinansowania istniejącej instalacji r</w:t>
      </w:r>
      <w:r w:rsidR="0055108E">
        <w:t>ekomenduje się ujęcie wydatków związanych z wymianą inwerterów nie posiadających funkcji obsług</w:t>
      </w:r>
      <w:r w:rsidR="00452363">
        <w:t>i</w:t>
      </w:r>
      <w:r w:rsidR="0055108E">
        <w:t xml:space="preserve"> magazynów energii na inwertery hybrydowe po stronie kosztów niekwalifikowalnych w projekcie. Za kwalifikowaln</w:t>
      </w:r>
      <w:r w:rsidR="00735E8F">
        <w:t>y</w:t>
      </w:r>
      <w:r w:rsidR="0055108E">
        <w:t xml:space="preserve"> w takiej sytuacji </w:t>
      </w:r>
      <w:r w:rsidR="00735E8F">
        <w:t>można uznać</w:t>
      </w:r>
      <w:r w:rsidR="008B42EE" w:rsidRPr="009E42FF">
        <w:t xml:space="preserve"> doposażeni</w:t>
      </w:r>
      <w:r w:rsidR="00735E8F">
        <w:t>e</w:t>
      </w:r>
      <w:r w:rsidR="008B42EE" w:rsidRPr="009E42FF">
        <w:t xml:space="preserve"> obecnego falownika</w:t>
      </w:r>
      <w:r w:rsidR="00B67ABF">
        <w:t>/</w:t>
      </w:r>
      <w:proofErr w:type="spellStart"/>
      <w:r w:rsidR="00B67ABF">
        <w:t>inwesrtera</w:t>
      </w:r>
      <w:proofErr w:type="spellEnd"/>
      <w:r w:rsidR="008B42EE" w:rsidRPr="009E42FF">
        <w:t xml:space="preserve"> </w:t>
      </w:r>
      <w:r w:rsidR="00735E8F">
        <w:t xml:space="preserve">w niezbędny dla funkcjonowania magazynu energii </w:t>
      </w:r>
      <w:proofErr w:type="spellStart"/>
      <w:proofErr w:type="gramStart"/>
      <w:r w:rsidR="008B42EE" w:rsidRPr="009E42FF">
        <w:t>retrofit</w:t>
      </w:r>
      <w:proofErr w:type="spellEnd"/>
      <w:r w:rsidR="003829F7">
        <w:t>,</w:t>
      </w:r>
      <w:proofErr w:type="gramEnd"/>
      <w:r w:rsidR="003829F7">
        <w:t xml:space="preserve"> jako rozwiązania optymalnego</w:t>
      </w:r>
      <w:r w:rsidR="008B42EE">
        <w:t>.</w:t>
      </w:r>
    </w:p>
    <w:p w14:paraId="29FAD70B" w14:textId="77777777" w:rsidR="002D2A43" w:rsidRPr="002D2A43" w:rsidRDefault="002D2A43" w:rsidP="00CF5457">
      <w:pPr>
        <w:widowControl w:val="0"/>
        <w:suppressAutoHyphens/>
        <w:autoSpaceDN w:val="0"/>
        <w:spacing w:line="276" w:lineRule="auto"/>
        <w:jc w:val="both"/>
        <w:textAlignment w:val="baseline"/>
      </w:pPr>
    </w:p>
    <w:p w14:paraId="6BDA15ED" w14:textId="01A5DE3C" w:rsidR="002D2A43" w:rsidRPr="008B42EE" w:rsidRDefault="002D2A43" w:rsidP="00CF5457">
      <w:pPr>
        <w:widowControl w:val="0"/>
        <w:suppressAutoHyphens/>
        <w:autoSpaceDN w:val="0"/>
        <w:spacing w:after="160" w:line="276" w:lineRule="auto"/>
        <w:jc w:val="both"/>
        <w:textAlignment w:val="baseline"/>
        <w:rPr>
          <w:i/>
          <w:iCs/>
          <w:u w:val="single"/>
        </w:rPr>
      </w:pPr>
      <w:r w:rsidRPr="008B42EE">
        <w:rPr>
          <w:i/>
          <w:iCs/>
          <w:u w:val="single"/>
        </w:rPr>
        <w:t>Pytanie</w:t>
      </w:r>
      <w:r w:rsidR="008B42EE" w:rsidRPr="008B42EE">
        <w:rPr>
          <w:i/>
          <w:iCs/>
          <w:u w:val="single"/>
        </w:rPr>
        <w:t xml:space="preserve"> 6</w:t>
      </w:r>
      <w:r w:rsidRPr="008B42EE">
        <w:rPr>
          <w:i/>
          <w:iCs/>
          <w:u w:val="single"/>
        </w:rPr>
        <w:t>:</w:t>
      </w:r>
      <w:r w:rsidR="008B42EE" w:rsidRPr="008B42EE">
        <w:rPr>
          <w:i/>
          <w:iCs/>
        </w:rPr>
        <w:t xml:space="preserve"> </w:t>
      </w:r>
      <w:r w:rsidRPr="008B42EE">
        <w:rPr>
          <w:i/>
          <w:iCs/>
        </w:rPr>
        <w:t>Czy jeśli ktoś posiada już magazyn energii czy może brać udział w projekcie na montaż kolejnego?</w:t>
      </w:r>
    </w:p>
    <w:p w14:paraId="51634750" w14:textId="35A6E511" w:rsidR="002D2A43" w:rsidRDefault="002D2A43" w:rsidP="00CF5457">
      <w:pPr>
        <w:widowControl w:val="0"/>
        <w:suppressAutoHyphens/>
        <w:autoSpaceDN w:val="0"/>
        <w:spacing w:after="120" w:line="276" w:lineRule="auto"/>
        <w:jc w:val="both"/>
        <w:textAlignment w:val="baseline"/>
        <w:rPr>
          <w:u w:val="single"/>
        </w:rPr>
      </w:pPr>
      <w:r>
        <w:rPr>
          <w:u w:val="single"/>
        </w:rPr>
        <w:t>Odpowiedź:</w:t>
      </w:r>
    </w:p>
    <w:p w14:paraId="6B32BC47" w14:textId="01D6A3BC" w:rsidR="001E05D6" w:rsidRDefault="003829F7" w:rsidP="00CF5457">
      <w:pPr>
        <w:tabs>
          <w:tab w:val="left" w:pos="567"/>
        </w:tabs>
        <w:spacing w:after="160" w:line="276" w:lineRule="auto"/>
        <w:contextualSpacing/>
        <w:jc w:val="both"/>
      </w:pPr>
      <w:r>
        <w:t xml:space="preserve">Zgodnie z wymaganiami uwzględnionymi w </w:t>
      </w:r>
      <w:r w:rsidRPr="00452363">
        <w:rPr>
          <w:i/>
          <w:iCs/>
        </w:rPr>
        <w:t>Regulaminie wyboru projektów</w:t>
      </w:r>
      <w:r>
        <w:t>, m</w:t>
      </w:r>
      <w:r w:rsidR="002D2A43" w:rsidRPr="008B42EE">
        <w:t xml:space="preserve">oc każdego </w:t>
      </w:r>
      <w:r>
        <w:br/>
      </w:r>
      <w:r w:rsidR="002D2A43" w:rsidRPr="008B42EE">
        <w:t xml:space="preserve">z magazynów energii instalowanego w ramach projektu musi być dostosowana do mocy urządzeń OZE, na potrzeby których będzie on pracował, a dobór pojemności magazynu powinien zostać poprzedzony szczegółową analizą profilu zużycia energii w danym budynku (indywidualna ocena zapotrzebowania na energię dla danego budynku). </w:t>
      </w:r>
      <w:r w:rsidR="001E05D6" w:rsidRPr="008B42EE">
        <w:t>Jeśli przeprowadzona analiza wykaże</w:t>
      </w:r>
      <w:r w:rsidR="001E05D6">
        <w:t>,</w:t>
      </w:r>
      <w:r w:rsidR="001E05D6" w:rsidRPr="008B42EE">
        <w:t xml:space="preserve"> że zamontowanie dodatkowego magazynu energii spełni </w:t>
      </w:r>
      <w:r>
        <w:t xml:space="preserve">wszystkie </w:t>
      </w:r>
      <w:r w:rsidR="001E05D6" w:rsidRPr="008B42EE">
        <w:t>wym</w:t>
      </w:r>
      <w:r>
        <w:t>ogi</w:t>
      </w:r>
      <w:r w:rsidR="001E05D6" w:rsidRPr="008B42EE">
        <w:t xml:space="preserve"> konkurs</w:t>
      </w:r>
      <w:r>
        <w:t>u,</w:t>
      </w:r>
      <w:r w:rsidR="001E05D6" w:rsidRPr="008B42EE">
        <w:t xml:space="preserve"> nie ma przeszkód</w:t>
      </w:r>
      <w:r w:rsidR="001E05D6">
        <w:t>,</w:t>
      </w:r>
      <w:r w:rsidR="001E05D6" w:rsidRPr="008B42EE">
        <w:t xml:space="preserve"> aby takie gospodarstwo domowe uczestniczyło w projekcie</w:t>
      </w:r>
      <w:r w:rsidR="001E05D6">
        <w:t xml:space="preserve">, przy czym </w:t>
      </w:r>
      <w:r>
        <w:t xml:space="preserve">zwraca się uwagę na to, iż </w:t>
      </w:r>
      <w:r w:rsidR="001E05D6">
        <w:t>p</w:t>
      </w:r>
      <w:r w:rsidR="002D2A43" w:rsidRPr="008B42EE">
        <w:t xml:space="preserve">ojemność magazynu energii, co do zasady nie powinna przekraczać 1,5 krotności mocy </w:t>
      </w:r>
      <w:r>
        <w:t xml:space="preserve">instalacji </w:t>
      </w:r>
      <w:r w:rsidR="002D2A43" w:rsidRPr="008B42EE">
        <w:t>OZE, które</w:t>
      </w:r>
      <w:r>
        <w:t>j</w:t>
      </w:r>
      <w:r w:rsidR="002D2A43" w:rsidRPr="008B42EE">
        <w:t xml:space="preserve"> energią będzie </w:t>
      </w:r>
      <w:r>
        <w:t xml:space="preserve">on </w:t>
      </w:r>
      <w:r w:rsidR="002D2A43" w:rsidRPr="008B42EE">
        <w:t xml:space="preserve">zasilany. </w:t>
      </w:r>
    </w:p>
    <w:p w14:paraId="6B825F02" w14:textId="07F5CE56" w:rsidR="002D2A43" w:rsidRPr="008B42EE" w:rsidRDefault="001E05D6" w:rsidP="00CF5457">
      <w:pPr>
        <w:tabs>
          <w:tab w:val="left" w:pos="567"/>
        </w:tabs>
        <w:spacing w:after="160" w:line="276" w:lineRule="auto"/>
        <w:contextualSpacing/>
        <w:jc w:val="both"/>
      </w:pPr>
      <w:r>
        <w:rPr>
          <w:lang w:eastAsia="pl-PL"/>
        </w:rPr>
        <w:t>Dodatkowo</w:t>
      </w:r>
      <w:r w:rsidR="003829F7">
        <w:rPr>
          <w:lang w:eastAsia="pl-PL"/>
        </w:rPr>
        <w:t xml:space="preserve"> należy pamiętać, iż</w:t>
      </w:r>
      <w:r>
        <w:rPr>
          <w:lang w:eastAsia="pl-PL"/>
        </w:rPr>
        <w:t xml:space="preserve"> </w:t>
      </w:r>
      <w:r w:rsidR="002D2A43" w:rsidRPr="008B42EE">
        <w:rPr>
          <w:lang w:eastAsia="pl-PL"/>
        </w:rPr>
        <w:t xml:space="preserve">planowane do </w:t>
      </w:r>
      <w:r w:rsidR="003829F7">
        <w:rPr>
          <w:lang w:eastAsia="pl-PL"/>
        </w:rPr>
        <w:t>zainstalowania w ramach projektu</w:t>
      </w:r>
      <w:r w:rsidR="002D2A43" w:rsidRPr="008B42EE">
        <w:rPr>
          <w:lang w:eastAsia="pl-PL"/>
        </w:rPr>
        <w:t xml:space="preserve"> </w:t>
      </w:r>
      <w:r w:rsidR="003829F7">
        <w:rPr>
          <w:lang w:eastAsia="pl-PL"/>
        </w:rPr>
        <w:t>m</w:t>
      </w:r>
      <w:r w:rsidR="003829F7" w:rsidRPr="008B42EE">
        <w:rPr>
          <w:lang w:eastAsia="pl-PL"/>
        </w:rPr>
        <w:t xml:space="preserve">agazyny energii </w:t>
      </w:r>
      <w:r w:rsidR="002D2A43" w:rsidRPr="008B42EE">
        <w:rPr>
          <w:lang w:eastAsia="pl-PL"/>
        </w:rPr>
        <w:t xml:space="preserve">będą musiały spełniać normy obowiązujące na terenie Unii Europejskiej </w:t>
      </w:r>
      <w:r w:rsidR="003829F7">
        <w:rPr>
          <w:lang w:eastAsia="pl-PL"/>
        </w:rPr>
        <w:t xml:space="preserve">dla takich urządzeń </w:t>
      </w:r>
      <w:r w:rsidR="002D2A43" w:rsidRPr="008B42EE">
        <w:rPr>
          <w:lang w:eastAsia="pl-PL"/>
        </w:rPr>
        <w:t xml:space="preserve">i być certyfikowane przez </w:t>
      </w:r>
      <w:r w:rsidR="003829F7">
        <w:rPr>
          <w:lang w:eastAsia="pl-PL"/>
        </w:rPr>
        <w:t>właściwe</w:t>
      </w:r>
      <w:r w:rsidR="002D2A43" w:rsidRPr="008B42EE">
        <w:rPr>
          <w:lang w:eastAsia="pl-PL"/>
        </w:rPr>
        <w:t xml:space="preserve"> organy</w:t>
      </w:r>
      <w:r w:rsidR="00B67ABF">
        <w:rPr>
          <w:lang w:eastAsia="pl-PL"/>
        </w:rPr>
        <w:t>/instytucje</w:t>
      </w:r>
      <w:r w:rsidR="002D2A43" w:rsidRPr="008B42EE">
        <w:rPr>
          <w:lang w:eastAsia="pl-PL"/>
        </w:rPr>
        <w:t xml:space="preserve">, </w:t>
      </w:r>
      <w:r w:rsidR="003829F7">
        <w:rPr>
          <w:lang w:eastAsia="pl-PL"/>
        </w:rPr>
        <w:t>w tym również</w:t>
      </w:r>
      <w:r w:rsidR="002D2A43" w:rsidRPr="008B42EE">
        <w:rPr>
          <w:lang w:eastAsia="pl-PL"/>
        </w:rPr>
        <w:t xml:space="preserve"> wymagania </w:t>
      </w:r>
      <w:r w:rsidR="003829F7">
        <w:rPr>
          <w:lang w:eastAsia="pl-PL"/>
        </w:rPr>
        <w:t xml:space="preserve">dotyczące ochrony </w:t>
      </w:r>
      <w:r w:rsidR="002D2A43" w:rsidRPr="008B42EE">
        <w:rPr>
          <w:lang w:eastAsia="pl-PL"/>
        </w:rPr>
        <w:t>ppoż</w:t>
      </w:r>
      <w:r w:rsidR="008B42EE">
        <w:rPr>
          <w:lang w:eastAsia="pl-PL"/>
        </w:rPr>
        <w:t>.</w:t>
      </w:r>
    </w:p>
    <w:p w14:paraId="13A7792E" w14:textId="77777777" w:rsidR="002D2A43" w:rsidRDefault="002D2A43" w:rsidP="00CF5457">
      <w:pPr>
        <w:widowControl w:val="0"/>
        <w:suppressAutoHyphens/>
        <w:autoSpaceDN w:val="0"/>
        <w:spacing w:line="276" w:lineRule="auto"/>
        <w:jc w:val="both"/>
        <w:textAlignment w:val="baseline"/>
      </w:pPr>
    </w:p>
    <w:p w14:paraId="41807450" w14:textId="015926D2" w:rsidR="00697270" w:rsidRPr="001E05D6" w:rsidRDefault="002D2A43" w:rsidP="00CF5457">
      <w:pPr>
        <w:widowControl w:val="0"/>
        <w:suppressAutoHyphens/>
        <w:autoSpaceDN w:val="0"/>
        <w:spacing w:after="120" w:line="276" w:lineRule="auto"/>
        <w:jc w:val="both"/>
        <w:textAlignment w:val="baseline"/>
        <w:rPr>
          <w:i/>
          <w:iCs/>
          <w:u w:val="single"/>
        </w:rPr>
      </w:pPr>
      <w:r w:rsidRPr="001E05D6">
        <w:rPr>
          <w:i/>
          <w:iCs/>
          <w:u w:val="single"/>
        </w:rPr>
        <w:t>Pytanie</w:t>
      </w:r>
      <w:r w:rsidR="001E05D6" w:rsidRPr="001E05D6">
        <w:rPr>
          <w:i/>
          <w:iCs/>
          <w:u w:val="single"/>
        </w:rPr>
        <w:t xml:space="preserve"> 7</w:t>
      </w:r>
      <w:r w:rsidRPr="001E05D6">
        <w:rPr>
          <w:i/>
          <w:iCs/>
          <w:u w:val="single"/>
        </w:rPr>
        <w:t>:</w:t>
      </w:r>
      <w:r w:rsidR="001E05D6" w:rsidRPr="001E05D6">
        <w:rPr>
          <w:i/>
          <w:iCs/>
        </w:rPr>
        <w:t xml:space="preserve"> </w:t>
      </w:r>
      <w:r w:rsidR="00697270" w:rsidRPr="001E05D6">
        <w:rPr>
          <w:i/>
          <w:iCs/>
        </w:rPr>
        <w:t xml:space="preserve">Czy magazynem ciepła może być zarówno bufor do centralnego ogrzewania jak </w:t>
      </w:r>
      <w:r w:rsidR="001E05D6">
        <w:rPr>
          <w:i/>
          <w:iCs/>
        </w:rPr>
        <w:br/>
      </w:r>
      <w:r w:rsidR="00697270" w:rsidRPr="001E05D6">
        <w:rPr>
          <w:i/>
          <w:iCs/>
        </w:rPr>
        <w:t xml:space="preserve">i zasobnik do ciepłej wody użytkowej? Jeśli tak to czy beneficjent jest zobligowany do demontażu starego zasobnika do </w:t>
      </w:r>
      <w:proofErr w:type="spellStart"/>
      <w:r w:rsidR="00697270" w:rsidRPr="001E05D6">
        <w:rPr>
          <w:i/>
          <w:iCs/>
        </w:rPr>
        <w:t>cwu</w:t>
      </w:r>
      <w:proofErr w:type="spellEnd"/>
      <w:r w:rsidR="00697270" w:rsidRPr="001E05D6">
        <w:rPr>
          <w:i/>
          <w:iCs/>
        </w:rPr>
        <w:t xml:space="preserve"> i w to miejsce zamontowanie nowego?</w:t>
      </w:r>
    </w:p>
    <w:p w14:paraId="011D7A90" w14:textId="3032B2B9" w:rsidR="00697270" w:rsidRDefault="00697270" w:rsidP="00CF5457">
      <w:pPr>
        <w:widowControl w:val="0"/>
        <w:suppressAutoHyphens/>
        <w:autoSpaceDN w:val="0"/>
        <w:spacing w:after="120" w:line="276" w:lineRule="auto"/>
        <w:jc w:val="both"/>
        <w:textAlignment w:val="baseline"/>
        <w:rPr>
          <w:u w:val="single"/>
        </w:rPr>
      </w:pPr>
      <w:r>
        <w:rPr>
          <w:u w:val="single"/>
        </w:rPr>
        <w:t>Odpowiedź:</w:t>
      </w:r>
    </w:p>
    <w:p w14:paraId="143BD7B3" w14:textId="77777777" w:rsidR="00DC5E5E" w:rsidRDefault="00DC5E5E" w:rsidP="00DC5E5E">
      <w:pPr>
        <w:widowControl w:val="0"/>
        <w:suppressAutoHyphens/>
        <w:autoSpaceDN w:val="0"/>
        <w:spacing w:line="276" w:lineRule="auto"/>
        <w:jc w:val="both"/>
        <w:textAlignment w:val="baseline"/>
      </w:pPr>
      <w:r>
        <w:t xml:space="preserve">Zgodnie z zapisami punktu 17.1 </w:t>
      </w:r>
      <w:r w:rsidRPr="003829F7">
        <w:rPr>
          <w:i/>
          <w:iCs/>
        </w:rPr>
        <w:t>Regulaminu wyboru projektów</w:t>
      </w:r>
      <w:r>
        <w:t xml:space="preserve">, zadawane pytania nie mogą </w:t>
      </w:r>
      <w:r>
        <w:lastRenderedPageBreak/>
        <w:t xml:space="preserve">dotyczyć kwestii rozstrzygających w zakresie oceny wniosku i jej wyniku oraz konkretnych </w:t>
      </w:r>
      <w:proofErr w:type="gramStart"/>
      <w:r>
        <w:t>zapisów,</w:t>
      </w:r>
      <w:proofErr w:type="gramEnd"/>
      <w:r>
        <w:t xml:space="preserve"> czy </w:t>
      </w:r>
      <w:r w:rsidRPr="00B67ABF">
        <w:rPr>
          <w:u w:val="single"/>
        </w:rPr>
        <w:t>rozwiązań zastosowanych w danym projekcie, celem ich wstępnej oceny</w:t>
      </w:r>
      <w:r>
        <w:t xml:space="preserve">. Ocena pod kątem spełniania kryteriów wyboru projektów należy do ustawowej kompetencji KOP </w:t>
      </w:r>
      <w:r>
        <w:br/>
        <w:t>i może być dokonywana wyłącznie przez nią i wyłącznie na tym etapie. Odpowiedź udzielana na zadawane pytania przez IZ FEŚ nie jest równoznaczna z wynikiem oceny wniosku i nie może stanowić podstawy do roszczeń w stosunku do KOP, co do późniejszych rozstrzygnięć dokonywanych na etapie oceny i wyboru projektów do dofinansowania w oparciu o pełną złożoną dokumentację aplikacyjną konkretnego projektu.</w:t>
      </w:r>
    </w:p>
    <w:p w14:paraId="5C42AFF5" w14:textId="3CD356B8" w:rsidR="00E1038B" w:rsidRPr="00DC5E5E" w:rsidRDefault="00E1038B" w:rsidP="00B67E8C">
      <w:pPr>
        <w:widowControl w:val="0"/>
        <w:suppressAutoHyphens/>
        <w:autoSpaceDN w:val="0"/>
        <w:spacing w:line="276" w:lineRule="auto"/>
        <w:jc w:val="both"/>
        <w:textAlignment w:val="baseline"/>
      </w:pPr>
      <w:r w:rsidRPr="00E1038B">
        <w:t xml:space="preserve">Pomocniczo jednak należy zwrócić uwagę, iż </w:t>
      </w:r>
      <w:r>
        <w:t>w</w:t>
      </w:r>
      <w:r w:rsidR="00DC5E5E">
        <w:t xml:space="preserve"> ramach naboru dofinansowanie można uzyskać na magazyny ciepła, pracujące na potrzeby </w:t>
      </w:r>
      <w:r w:rsidR="00DC5E5E" w:rsidRPr="00B67ABF">
        <w:rPr>
          <w:u w:val="single"/>
        </w:rPr>
        <w:t>istniejących instalacji</w:t>
      </w:r>
      <w:r>
        <w:t>, a</w:t>
      </w:r>
      <w:r w:rsidR="00DC5E5E">
        <w:t xml:space="preserve"> nie na demontaż i wymianę istniejącego bufora. </w:t>
      </w:r>
      <w:r w:rsidR="00BB3403" w:rsidRPr="00DC5E5E">
        <w:t xml:space="preserve">Bufor ciepła </w:t>
      </w:r>
      <w:r w:rsidR="00B67ABF">
        <w:t>może być</w:t>
      </w:r>
      <w:r w:rsidR="00005E7E" w:rsidRPr="00DC5E5E">
        <w:t xml:space="preserve"> traktowany jako magazyn energii i</w:t>
      </w:r>
      <w:r>
        <w:t xml:space="preserve"> co do zasady </w:t>
      </w:r>
      <w:r w:rsidR="00BB3403" w:rsidRPr="00DC5E5E">
        <w:t>może być finansowany w konkursie jedynie w przypadku instalacji opartych na odnawialnych źródłach energii</w:t>
      </w:r>
      <w:r w:rsidR="00B67ABF">
        <w:t>, a instalacja takiego bufora nie posiada</w:t>
      </w:r>
      <w:r w:rsidR="00005E7E" w:rsidRPr="00DC5E5E">
        <w:t>.</w:t>
      </w:r>
      <w:r w:rsidRPr="00E1038B">
        <w:t xml:space="preserve"> </w:t>
      </w:r>
    </w:p>
    <w:p w14:paraId="18B6D697" w14:textId="6638A724" w:rsidR="00895AB3" w:rsidRDefault="00634396" w:rsidP="00CF5457">
      <w:pPr>
        <w:widowControl w:val="0"/>
        <w:suppressAutoHyphens/>
        <w:autoSpaceDN w:val="0"/>
        <w:spacing w:after="120" w:line="276" w:lineRule="auto"/>
        <w:jc w:val="both"/>
        <w:textAlignment w:val="baseline"/>
      </w:pPr>
      <w:r w:rsidRPr="00DC5E5E">
        <w:t>Konieczność</w:t>
      </w:r>
      <w:r w:rsidR="00B67ABF">
        <w:t>/zasadność</w:t>
      </w:r>
      <w:r w:rsidRPr="00DC5E5E">
        <w:t xml:space="preserve"> zamontowania lub </w:t>
      </w:r>
      <w:proofErr w:type="gramStart"/>
      <w:r w:rsidRPr="00DC5E5E">
        <w:t>nie nowego</w:t>
      </w:r>
      <w:proofErr w:type="gramEnd"/>
      <w:r w:rsidRPr="00DC5E5E">
        <w:t xml:space="preserve"> zbiornika będzie wynikać z zakresu projektu</w:t>
      </w:r>
      <w:r w:rsidR="00B67ABF">
        <w:t xml:space="preserve"> </w:t>
      </w:r>
      <w:r w:rsidR="00DB6E6D" w:rsidRPr="00DC5E5E">
        <w:t xml:space="preserve">i będzie </w:t>
      </w:r>
      <w:r w:rsidR="00B67ABF">
        <w:t xml:space="preserve">każdorazowo </w:t>
      </w:r>
      <w:r w:rsidR="00DB6E6D" w:rsidRPr="00DC5E5E">
        <w:t xml:space="preserve">podlegać analizie na </w:t>
      </w:r>
      <w:r w:rsidR="00E1038B" w:rsidRPr="00DC5E5E">
        <w:t>etapie</w:t>
      </w:r>
      <w:r w:rsidR="00DB6E6D" w:rsidRPr="00DC5E5E">
        <w:t xml:space="preserve"> oceny projektu</w:t>
      </w:r>
      <w:r w:rsidRPr="00DC5E5E">
        <w:t xml:space="preserve">. Nie można </w:t>
      </w:r>
      <w:r w:rsidR="00B67ABF">
        <w:t xml:space="preserve">zatem na bazie zadanego pytania </w:t>
      </w:r>
      <w:r w:rsidRPr="00DC5E5E">
        <w:t>udzielić jednoznacznej odpowiedzi, że we wszystkich przypadkach</w:t>
      </w:r>
      <w:r w:rsidR="00E1038B">
        <w:t xml:space="preserve"> montaż nowego bufora będzie konieczny</w:t>
      </w:r>
      <w:r w:rsidR="00B67ABF">
        <w:t>, uzasadniony i tym samym kwalifikowalny</w:t>
      </w:r>
      <w:r w:rsidRPr="00DC5E5E">
        <w:t xml:space="preserve">. </w:t>
      </w:r>
      <w:r w:rsidR="00B67ABF">
        <w:t>P</w:t>
      </w:r>
      <w:r w:rsidRPr="00DC5E5E">
        <w:t>rzygotow</w:t>
      </w:r>
      <w:r w:rsidR="00B67ABF">
        <w:t>ując</w:t>
      </w:r>
      <w:r w:rsidRPr="00DC5E5E">
        <w:t xml:space="preserve"> projekt należy przeprowadzić </w:t>
      </w:r>
      <w:r w:rsidR="00B67ABF">
        <w:t xml:space="preserve">szczegółową </w:t>
      </w:r>
      <w:r w:rsidRPr="00DC5E5E">
        <w:t xml:space="preserve">analizę </w:t>
      </w:r>
      <w:r w:rsidR="00B67ABF">
        <w:t xml:space="preserve">odnoszącą się do </w:t>
      </w:r>
      <w:r w:rsidRPr="00DC5E5E">
        <w:t xml:space="preserve">konieczności </w:t>
      </w:r>
      <w:r w:rsidR="00E1038B">
        <w:t>montażu</w:t>
      </w:r>
      <w:r w:rsidRPr="00DC5E5E">
        <w:t xml:space="preserve"> </w:t>
      </w:r>
      <w:r w:rsidR="00B67ABF">
        <w:t>takiego elementu</w:t>
      </w:r>
      <w:r w:rsidRPr="00DC5E5E">
        <w:t xml:space="preserve"> i przedstawić uzasadnienie </w:t>
      </w:r>
      <w:r w:rsidR="00B67ABF">
        <w:t xml:space="preserve">dla </w:t>
      </w:r>
      <w:r w:rsidRPr="00DC5E5E">
        <w:t xml:space="preserve">przyjętych rozwiązań. </w:t>
      </w:r>
    </w:p>
    <w:p w14:paraId="798CE97E" w14:textId="50D17DBA" w:rsidR="00697270" w:rsidRPr="001E05D6" w:rsidRDefault="00697270" w:rsidP="00CF5457">
      <w:pPr>
        <w:widowControl w:val="0"/>
        <w:suppressAutoHyphens/>
        <w:autoSpaceDN w:val="0"/>
        <w:spacing w:after="120" w:line="276" w:lineRule="auto"/>
        <w:jc w:val="both"/>
        <w:textAlignment w:val="baseline"/>
        <w:rPr>
          <w:i/>
          <w:iCs/>
        </w:rPr>
      </w:pPr>
      <w:r w:rsidRPr="001E05D6">
        <w:rPr>
          <w:i/>
          <w:iCs/>
          <w:u w:val="single"/>
        </w:rPr>
        <w:t>Pytanie</w:t>
      </w:r>
      <w:r w:rsidR="001E05D6" w:rsidRPr="001E05D6">
        <w:rPr>
          <w:i/>
          <w:iCs/>
          <w:u w:val="single"/>
        </w:rPr>
        <w:t xml:space="preserve"> 8</w:t>
      </w:r>
      <w:r w:rsidRPr="001E05D6">
        <w:rPr>
          <w:i/>
          <w:iCs/>
          <w:u w:val="single"/>
        </w:rPr>
        <w:t>:</w:t>
      </w:r>
      <w:r w:rsidR="001E05D6" w:rsidRPr="001E05D6">
        <w:rPr>
          <w:i/>
          <w:iCs/>
        </w:rPr>
        <w:t xml:space="preserve"> </w:t>
      </w:r>
      <w:r w:rsidRPr="001E05D6">
        <w:rPr>
          <w:i/>
          <w:iCs/>
        </w:rPr>
        <w:t>W przypadku wniosku partnerskiego, w którym np. cztery gminy należą do obszaru strategicznej interwencji, a np. jedna Gmina nie należy do żadnego obszaru strategicznej interwencji, to czy w takim przypadku zostanie przyznany dodatkowy punkt zgodnie z kryterium „Preferencje dla obszarów strategicznej interwencji”?</w:t>
      </w:r>
    </w:p>
    <w:p w14:paraId="1C117C18" w14:textId="0C611E9F" w:rsidR="00697270" w:rsidRDefault="00697270" w:rsidP="00CF5457">
      <w:pPr>
        <w:widowControl w:val="0"/>
        <w:suppressAutoHyphens/>
        <w:autoSpaceDN w:val="0"/>
        <w:spacing w:after="120" w:line="276" w:lineRule="auto"/>
        <w:jc w:val="both"/>
        <w:textAlignment w:val="baseline"/>
        <w:rPr>
          <w:u w:val="single"/>
        </w:rPr>
      </w:pPr>
      <w:r>
        <w:rPr>
          <w:u w:val="single"/>
        </w:rPr>
        <w:t>Odpowiedź:</w:t>
      </w:r>
    </w:p>
    <w:p w14:paraId="0E759517" w14:textId="34640F3D" w:rsidR="00697270" w:rsidRPr="001E05D6" w:rsidRDefault="008B180E" w:rsidP="00CF5457">
      <w:pPr>
        <w:widowControl w:val="0"/>
        <w:suppressAutoHyphens/>
        <w:autoSpaceDN w:val="0"/>
        <w:spacing w:line="276" w:lineRule="auto"/>
        <w:jc w:val="both"/>
        <w:textAlignment w:val="baseline"/>
        <w:rPr>
          <w:i/>
          <w:iCs/>
          <w:u w:val="single"/>
        </w:rPr>
      </w:pPr>
      <w:r>
        <w:t>Rozstrzygnięcie w tym zakresie</w:t>
      </w:r>
      <w:r w:rsidR="000E4BC0" w:rsidRPr="001E05D6">
        <w:t xml:space="preserve"> </w:t>
      </w:r>
      <w:r>
        <w:t>zawiera</w:t>
      </w:r>
      <w:r w:rsidR="000E4BC0" w:rsidRPr="001E05D6">
        <w:t xml:space="preserve"> </w:t>
      </w:r>
      <w:r>
        <w:t xml:space="preserve">definicja </w:t>
      </w:r>
      <w:r w:rsidR="000E4BC0" w:rsidRPr="001E0390">
        <w:rPr>
          <w:i/>
          <w:iCs/>
        </w:rPr>
        <w:t xml:space="preserve">Kryterium </w:t>
      </w:r>
      <w:r w:rsidRPr="001E0390">
        <w:rPr>
          <w:i/>
          <w:iCs/>
        </w:rPr>
        <w:t>m</w:t>
      </w:r>
      <w:r w:rsidR="000E4BC0" w:rsidRPr="001E0390">
        <w:rPr>
          <w:i/>
          <w:iCs/>
        </w:rPr>
        <w:t xml:space="preserve">erytorycznym </w:t>
      </w:r>
      <w:r w:rsidRPr="001E0390">
        <w:rPr>
          <w:i/>
          <w:iCs/>
        </w:rPr>
        <w:t>p</w:t>
      </w:r>
      <w:r w:rsidR="000E4BC0" w:rsidRPr="001E0390">
        <w:rPr>
          <w:i/>
          <w:iCs/>
        </w:rPr>
        <w:t>unktowym nr 5</w:t>
      </w:r>
      <w:r>
        <w:t xml:space="preserve"> stanowiąca, że</w:t>
      </w:r>
      <w:r w:rsidR="000E4BC0" w:rsidRPr="001E05D6">
        <w:t xml:space="preserve">: </w:t>
      </w:r>
      <w:r w:rsidR="000E4BC0" w:rsidRPr="001E05D6">
        <w:rPr>
          <w:i/>
          <w:iCs/>
        </w:rPr>
        <w:t xml:space="preserve">„W ramach kryteriów promowane będą projekty </w:t>
      </w:r>
      <w:r w:rsidR="000E4BC0" w:rsidRPr="008B180E">
        <w:rPr>
          <w:b/>
          <w:bCs/>
          <w:i/>
          <w:iCs/>
        </w:rPr>
        <w:t>w całości zlokalizowane</w:t>
      </w:r>
      <w:r w:rsidR="000E4BC0" w:rsidRPr="001E05D6">
        <w:rPr>
          <w:i/>
          <w:iCs/>
        </w:rPr>
        <w:t xml:space="preserve"> na zdefiniowanych w strategii rozwoju województwa obszarach strategicznej interwencji (OSI), </w:t>
      </w:r>
      <w:r>
        <w:rPr>
          <w:i/>
          <w:iCs/>
        </w:rPr>
        <w:br/>
      </w:r>
      <w:r w:rsidR="000E4BC0" w:rsidRPr="001E05D6">
        <w:rPr>
          <w:i/>
          <w:iCs/>
        </w:rPr>
        <w:t xml:space="preserve">w szczególności miejskich obszarach funkcjonalnych i miast średnich tracących funkcje społeczno-gospodarcze, OSI </w:t>
      </w:r>
      <w:proofErr w:type="spellStart"/>
      <w:r w:rsidR="000E4BC0" w:rsidRPr="001E05D6">
        <w:rPr>
          <w:i/>
          <w:iCs/>
        </w:rPr>
        <w:t>Ponidzie</w:t>
      </w:r>
      <w:proofErr w:type="spellEnd"/>
      <w:r w:rsidR="000E4BC0" w:rsidRPr="001E05D6">
        <w:rPr>
          <w:i/>
          <w:iCs/>
        </w:rPr>
        <w:t>, Osi obszar uzdrowiskowy”.</w:t>
      </w:r>
      <w:r w:rsidR="001E0390">
        <w:rPr>
          <w:i/>
          <w:iCs/>
        </w:rPr>
        <w:t xml:space="preserve"> </w:t>
      </w:r>
      <w:r w:rsidR="00B67ABF">
        <w:t xml:space="preserve">Zatem 1 punkt przed zważeniem w ramach przedmiotowego kryterium otrzymają wyłącznie projekty, które </w:t>
      </w:r>
      <w:r w:rsidR="00B67ABF">
        <w:br/>
        <w:t>w całości zlokalizowane będą na wspomnianych obszarach.</w:t>
      </w:r>
      <w:r w:rsidR="000E4BC0" w:rsidRPr="001E05D6">
        <w:rPr>
          <w:i/>
          <w:iCs/>
        </w:rPr>
        <w:t xml:space="preserve">  </w:t>
      </w:r>
    </w:p>
    <w:p w14:paraId="32E8C3DF" w14:textId="77777777" w:rsidR="002D2A43" w:rsidRPr="002D2A43" w:rsidRDefault="002D2A43" w:rsidP="00CF5457">
      <w:pPr>
        <w:widowControl w:val="0"/>
        <w:suppressAutoHyphens/>
        <w:autoSpaceDN w:val="0"/>
        <w:spacing w:line="276" w:lineRule="auto"/>
        <w:jc w:val="both"/>
        <w:textAlignment w:val="baseline"/>
        <w:rPr>
          <w:kern w:val="3"/>
        </w:rPr>
      </w:pPr>
    </w:p>
    <w:p w14:paraId="18FE5EE8" w14:textId="79AF5A8F" w:rsidR="000E4BC0" w:rsidRPr="001E05D6" w:rsidRDefault="000E4BC0" w:rsidP="00CF5457">
      <w:pPr>
        <w:spacing w:after="120" w:line="276" w:lineRule="auto"/>
        <w:jc w:val="both"/>
        <w:rPr>
          <w:i/>
          <w:iCs/>
        </w:rPr>
      </w:pPr>
      <w:r w:rsidRPr="001E05D6">
        <w:rPr>
          <w:i/>
          <w:iCs/>
          <w:u w:val="single"/>
        </w:rPr>
        <w:t>Pytanie</w:t>
      </w:r>
      <w:r w:rsidR="001E05D6" w:rsidRPr="001E05D6">
        <w:rPr>
          <w:i/>
          <w:iCs/>
          <w:u w:val="single"/>
        </w:rPr>
        <w:t xml:space="preserve"> 9</w:t>
      </w:r>
      <w:r w:rsidRPr="001E05D6">
        <w:rPr>
          <w:i/>
          <w:iCs/>
          <w:u w:val="single"/>
        </w:rPr>
        <w:t>:</w:t>
      </w:r>
      <w:r w:rsidR="001E05D6" w:rsidRPr="001E05D6">
        <w:rPr>
          <w:i/>
          <w:iCs/>
        </w:rPr>
        <w:t xml:space="preserve"> </w:t>
      </w:r>
      <w:r w:rsidRPr="001E05D6">
        <w:rPr>
          <w:i/>
          <w:iCs/>
        </w:rPr>
        <w:t>Czy Lokalna Grupa Działania (LGD) może zostać wnioskodawcą w naborze?</w:t>
      </w:r>
    </w:p>
    <w:p w14:paraId="32CE95BA" w14:textId="06966852" w:rsidR="000E4BC0" w:rsidRDefault="000E4BC0" w:rsidP="00CF5457">
      <w:pPr>
        <w:spacing w:after="120" w:line="276" w:lineRule="auto"/>
        <w:jc w:val="both"/>
        <w:rPr>
          <w:u w:val="single"/>
        </w:rPr>
      </w:pPr>
      <w:r>
        <w:rPr>
          <w:u w:val="single"/>
        </w:rPr>
        <w:t>Odpowiedź:</w:t>
      </w:r>
    </w:p>
    <w:p w14:paraId="5413FFA5" w14:textId="3EA199CF" w:rsidR="00CA0DB0" w:rsidRDefault="008B180E" w:rsidP="00CF5457">
      <w:pPr>
        <w:spacing w:after="120" w:line="276" w:lineRule="auto"/>
        <w:jc w:val="both"/>
      </w:pPr>
      <w:r>
        <w:t xml:space="preserve">Zgodnie z zapisami </w:t>
      </w:r>
      <w:r w:rsidRPr="008B180E">
        <w:rPr>
          <w:i/>
          <w:iCs/>
        </w:rPr>
        <w:t>Regulaminu wyboru projektów</w:t>
      </w:r>
      <w:r>
        <w:t xml:space="preserve"> (punkt 4.1), p</w:t>
      </w:r>
      <w:r w:rsidR="000E4BC0" w:rsidRPr="001E05D6">
        <w:t xml:space="preserve">odmiotami uprawnionymi do złożenia </w:t>
      </w:r>
      <w:r w:rsidR="000E4BC0" w:rsidRPr="008B180E">
        <w:rPr>
          <w:i/>
          <w:iCs/>
        </w:rPr>
        <w:t>wniosku o dofinasowanie</w:t>
      </w:r>
      <w:r w:rsidR="000E4BC0" w:rsidRPr="001E05D6">
        <w:t xml:space="preserve"> są: jednostki samorządu terytorialnego szczebla gminnego</w:t>
      </w:r>
      <w:r>
        <w:t xml:space="preserve"> </w:t>
      </w:r>
      <w:r w:rsidR="001E0390">
        <w:br/>
      </w:r>
      <w:r>
        <w:t>z terenu województwa świętokrzyskiego (JST) lub</w:t>
      </w:r>
      <w:r w:rsidR="000E4BC0" w:rsidRPr="001E05D6">
        <w:t xml:space="preserve"> ich jednostki organizacyjne</w:t>
      </w:r>
      <w:r>
        <w:t>;</w:t>
      </w:r>
      <w:r w:rsidR="000E4BC0" w:rsidRPr="001E05D6">
        <w:t xml:space="preserve"> </w:t>
      </w:r>
      <w:r>
        <w:t>lub</w:t>
      </w:r>
      <w:r w:rsidR="000E4BC0" w:rsidRPr="001E05D6">
        <w:t xml:space="preserve"> związki, stowarzyszenia lub porozumienia tych JST.</w:t>
      </w:r>
      <w:r w:rsidR="00B67ABF">
        <w:t xml:space="preserve"> Katalog wnioskodawców nie zawiera LGD. </w:t>
      </w:r>
    </w:p>
    <w:p w14:paraId="2E1006D8" w14:textId="77777777" w:rsidR="0037068B" w:rsidRPr="009E42FF" w:rsidRDefault="0037068B" w:rsidP="00CF5457">
      <w:pPr>
        <w:spacing w:after="160" w:line="276" w:lineRule="auto"/>
        <w:jc w:val="both"/>
        <w:rPr>
          <w:b/>
          <w:bCs/>
          <w:u w:val="single"/>
        </w:rPr>
      </w:pPr>
      <w:r w:rsidRPr="009F3A7F">
        <w:rPr>
          <w:b/>
          <w:bCs/>
          <w:highlight w:val="green"/>
          <w:u w:val="single"/>
        </w:rPr>
        <w:t>26.09.2024:</w:t>
      </w:r>
    </w:p>
    <w:p w14:paraId="39087C8F" w14:textId="0F44409A" w:rsidR="00CA0DB0" w:rsidRPr="0037068B" w:rsidRDefault="00CA0DB0" w:rsidP="00CF5457">
      <w:pPr>
        <w:spacing w:after="120" w:line="276" w:lineRule="auto"/>
        <w:jc w:val="both"/>
        <w:rPr>
          <w:i/>
          <w:iCs/>
        </w:rPr>
      </w:pPr>
      <w:r w:rsidRPr="0037068B">
        <w:rPr>
          <w:i/>
          <w:iCs/>
          <w:u w:val="single"/>
        </w:rPr>
        <w:t>Pytanie</w:t>
      </w:r>
      <w:r w:rsidR="0037068B" w:rsidRPr="0037068B">
        <w:rPr>
          <w:i/>
          <w:iCs/>
          <w:u w:val="single"/>
        </w:rPr>
        <w:t xml:space="preserve"> 1</w:t>
      </w:r>
      <w:r w:rsidRPr="0037068B">
        <w:rPr>
          <w:i/>
          <w:iCs/>
          <w:u w:val="single"/>
        </w:rPr>
        <w:t>:</w:t>
      </w:r>
      <w:r w:rsidR="0037068B" w:rsidRPr="0037068B">
        <w:rPr>
          <w:i/>
          <w:iCs/>
        </w:rPr>
        <w:t xml:space="preserve"> </w:t>
      </w:r>
      <w:r w:rsidRPr="0037068B">
        <w:rPr>
          <w:i/>
          <w:iCs/>
        </w:rPr>
        <w:t xml:space="preserve">Z informacji, które posiadamy zamontowane na terenie gminy instalacje OZE nie są wyposażone w inwertery hybrydowe, które gwarantują prawidłowe współdziałanie magazynu </w:t>
      </w:r>
      <w:r w:rsidRPr="0037068B">
        <w:rPr>
          <w:i/>
          <w:iCs/>
        </w:rPr>
        <w:lastRenderedPageBreak/>
        <w:t>energii z istniejącą instalacją fotowoltaiczną. Czy wymiana obecnych falowników na falowniki hybrydowe wraz z niezbędną instalacją będzie stanowić koszt kwalifikowalny w projekcie i czy przy takiej wymianie zachowana zostanie trwałość projektu parasolowego (montaż instalacji OZE u mieszkańców), który gmina realizowała w poprzedniej perspektywie finansowej?</w:t>
      </w:r>
    </w:p>
    <w:p w14:paraId="213E2CE0" w14:textId="40FDDFBD" w:rsidR="00CA0DB0" w:rsidRDefault="00CA0DB0" w:rsidP="00CF5457">
      <w:pPr>
        <w:spacing w:after="120" w:line="276" w:lineRule="auto"/>
        <w:jc w:val="both"/>
        <w:rPr>
          <w:u w:val="single"/>
        </w:rPr>
      </w:pPr>
      <w:r w:rsidRPr="00CA0DB0">
        <w:rPr>
          <w:u w:val="single"/>
        </w:rPr>
        <w:t>Odpowiedź:</w:t>
      </w:r>
    </w:p>
    <w:p w14:paraId="1503F669" w14:textId="2F95BE0C" w:rsidR="001761AA" w:rsidRDefault="008B180E" w:rsidP="00CF5457">
      <w:pPr>
        <w:spacing w:after="120" w:line="276" w:lineRule="auto"/>
        <w:jc w:val="both"/>
      </w:pPr>
      <w:r w:rsidRPr="007A05CD">
        <w:t xml:space="preserve">Odpowiedź </w:t>
      </w:r>
      <w:r>
        <w:t>zawiera się w odpowiedzi na</w:t>
      </w:r>
      <w:r w:rsidRPr="007A05CD">
        <w:t xml:space="preserve"> pytani</w:t>
      </w:r>
      <w:r>
        <w:t>e</w:t>
      </w:r>
      <w:r w:rsidRPr="007A05CD">
        <w:t xml:space="preserve"> </w:t>
      </w:r>
      <w:r w:rsidR="0037068B" w:rsidRPr="007A05CD">
        <w:t xml:space="preserve">nr </w:t>
      </w:r>
      <w:r w:rsidR="00DA5E4E">
        <w:t>5</w:t>
      </w:r>
      <w:r w:rsidR="0037068B" w:rsidRPr="007A05CD">
        <w:t xml:space="preserve"> – powyżej. </w:t>
      </w:r>
    </w:p>
    <w:p w14:paraId="1B6577C8" w14:textId="0737ABA5" w:rsidR="001761AA" w:rsidRDefault="001761AA" w:rsidP="00CF5457">
      <w:pPr>
        <w:spacing w:after="160" w:line="276" w:lineRule="auto"/>
        <w:jc w:val="both"/>
        <w:rPr>
          <w:b/>
          <w:bCs/>
          <w:u w:val="single"/>
        </w:rPr>
      </w:pPr>
      <w:r w:rsidRPr="009F3A7F">
        <w:rPr>
          <w:b/>
          <w:bCs/>
          <w:highlight w:val="green"/>
          <w:u w:val="single"/>
        </w:rPr>
        <w:t>2</w:t>
      </w:r>
      <w:r>
        <w:rPr>
          <w:b/>
          <w:bCs/>
          <w:highlight w:val="green"/>
          <w:u w:val="single"/>
        </w:rPr>
        <w:t>7</w:t>
      </w:r>
      <w:r w:rsidRPr="009F3A7F">
        <w:rPr>
          <w:b/>
          <w:bCs/>
          <w:highlight w:val="green"/>
          <w:u w:val="single"/>
        </w:rPr>
        <w:t>.09.2024:</w:t>
      </w:r>
    </w:p>
    <w:p w14:paraId="587E909A" w14:textId="5AE494C4" w:rsidR="001761AA" w:rsidRPr="001761AA" w:rsidRDefault="001761AA" w:rsidP="00CF5457">
      <w:pPr>
        <w:spacing w:after="120" w:line="276" w:lineRule="auto"/>
        <w:jc w:val="both"/>
        <w:rPr>
          <w:i/>
          <w:iCs/>
        </w:rPr>
      </w:pPr>
      <w:r w:rsidRPr="0037068B">
        <w:rPr>
          <w:i/>
          <w:iCs/>
          <w:u w:val="single"/>
        </w:rPr>
        <w:t>Pytanie 1:</w:t>
      </w:r>
      <w:r w:rsidRPr="0037068B">
        <w:rPr>
          <w:i/>
          <w:iCs/>
        </w:rPr>
        <w:t xml:space="preserve"> </w:t>
      </w:r>
      <w:r w:rsidRPr="001761AA">
        <w:rPr>
          <w:i/>
          <w:iCs/>
        </w:rPr>
        <w:t>Zgodnie z regulaminem konkursu do Kosztów kwalifikowalnych należą:</w:t>
      </w:r>
      <w:r w:rsidRPr="001761AA">
        <w:rPr>
          <w:i/>
          <w:iCs/>
        </w:rPr>
        <w:br/>
        <w:t>▪ VAT w projekcie: Podatek VAT w projektach, których łączny koszt jest mniejszy niż 5 mln EURO</w:t>
      </w:r>
      <w:r>
        <w:rPr>
          <w:i/>
          <w:iCs/>
        </w:rPr>
        <w:t xml:space="preserve"> </w:t>
      </w:r>
      <w:r w:rsidRPr="001761AA">
        <w:rPr>
          <w:i/>
          <w:iCs/>
        </w:rPr>
        <w:t>(włączając VAT) uznaje się za kwalifikowany. Uwaga: w sytuacji, gdy na etapie realizacji</w:t>
      </w:r>
      <w:r>
        <w:rPr>
          <w:i/>
          <w:iCs/>
        </w:rPr>
        <w:t xml:space="preserve"> </w:t>
      </w:r>
      <w:r w:rsidRPr="001761AA">
        <w:rPr>
          <w:i/>
          <w:iCs/>
        </w:rPr>
        <w:t>inwestycji (np. w wyniku rozstrzygnięcia postępowania na wybór wykonawcy) koszt całkowity</w:t>
      </w:r>
      <w:r>
        <w:rPr>
          <w:i/>
          <w:iCs/>
        </w:rPr>
        <w:t xml:space="preserve"> </w:t>
      </w:r>
      <w:r w:rsidRPr="001761AA">
        <w:rPr>
          <w:i/>
          <w:iCs/>
        </w:rPr>
        <w:t xml:space="preserve">ulegnie zwiększeniu i osiągnie co najmniej 5 mln EURO (włączając VAT), </w:t>
      </w:r>
      <w:r>
        <w:rPr>
          <w:i/>
          <w:iCs/>
        </w:rPr>
        <w:br/>
      </w:r>
      <w:r w:rsidRPr="001761AA">
        <w:rPr>
          <w:i/>
          <w:iCs/>
        </w:rPr>
        <w:t>a wnioskodawca</w:t>
      </w:r>
      <w:r>
        <w:rPr>
          <w:i/>
          <w:iCs/>
        </w:rPr>
        <w:t xml:space="preserve"> </w:t>
      </w:r>
      <w:r w:rsidRPr="001761AA">
        <w:rPr>
          <w:i/>
          <w:iCs/>
        </w:rPr>
        <w:t>posiada</w:t>
      </w:r>
      <w:r>
        <w:rPr>
          <w:i/>
          <w:iCs/>
        </w:rPr>
        <w:t xml:space="preserve"> </w:t>
      </w:r>
      <w:r w:rsidRPr="001761AA">
        <w:rPr>
          <w:i/>
          <w:iCs/>
        </w:rPr>
        <w:t>prawną możliwość odzyskania podatku VAT, wówczas wartość odpowiadająca podatkowi VAT</w:t>
      </w:r>
      <w:r>
        <w:rPr>
          <w:i/>
          <w:iCs/>
        </w:rPr>
        <w:t xml:space="preserve"> </w:t>
      </w:r>
      <w:r w:rsidRPr="001761AA">
        <w:rPr>
          <w:i/>
          <w:iCs/>
        </w:rPr>
        <w:t>stanie się wydatkiem niekwalifikowalnym w projekcie.</w:t>
      </w:r>
      <w:r w:rsidRPr="001761AA">
        <w:rPr>
          <w:i/>
          <w:iCs/>
        </w:rPr>
        <w:br/>
        <w:t>▪ Wydatki na informację i promocję projektu nie mogą być wyższe niż 10 000,00</w:t>
      </w:r>
      <w:r w:rsidRPr="001761AA">
        <w:rPr>
          <w:i/>
          <w:iCs/>
        </w:rPr>
        <w:br/>
        <w:t>▪ Wydatki związane z przygotowaniem projektu niezbędne do jego realizacji</w:t>
      </w:r>
      <w:r w:rsidRPr="001761AA">
        <w:rPr>
          <w:i/>
          <w:iCs/>
        </w:rPr>
        <w:br/>
        <w:t>▪ Koszty pośrednie w wysokości 0,5% wartości kwalifikowalnych kosztów bezpośrednich z</w:t>
      </w:r>
      <w:r w:rsidRPr="001761AA">
        <w:rPr>
          <w:i/>
          <w:iCs/>
        </w:rPr>
        <w:br/>
        <w:t xml:space="preserve">zastrzeżeniem uregulowań dotyczących pomocy publicznej/pomocy de </w:t>
      </w:r>
      <w:proofErr w:type="spellStart"/>
      <w:r w:rsidRPr="001761AA">
        <w:rPr>
          <w:i/>
          <w:iCs/>
        </w:rPr>
        <w:t>minimis</w:t>
      </w:r>
      <w:proofErr w:type="spellEnd"/>
      <w:r w:rsidR="00BA716E">
        <w:rPr>
          <w:i/>
          <w:iCs/>
        </w:rPr>
        <w:t>.</w:t>
      </w:r>
    </w:p>
    <w:p w14:paraId="69B49A93" w14:textId="77777777" w:rsidR="001761AA" w:rsidRDefault="001761AA" w:rsidP="00CF5457">
      <w:pPr>
        <w:spacing w:line="276" w:lineRule="auto"/>
        <w:jc w:val="both"/>
        <w:rPr>
          <w:i/>
          <w:iCs/>
        </w:rPr>
      </w:pPr>
      <w:r w:rsidRPr="001761AA">
        <w:rPr>
          <w:i/>
          <w:iCs/>
        </w:rPr>
        <w:t>Czy pod pozycją </w:t>
      </w:r>
    </w:p>
    <w:p w14:paraId="7719BCBC" w14:textId="509AF63B" w:rsidR="001761AA" w:rsidRPr="001761AA" w:rsidRDefault="001761AA" w:rsidP="00CF5457">
      <w:pPr>
        <w:spacing w:after="120" w:line="276" w:lineRule="auto"/>
        <w:jc w:val="both"/>
        <w:rPr>
          <w:i/>
          <w:iCs/>
        </w:rPr>
      </w:pPr>
      <w:r w:rsidRPr="001761AA">
        <w:rPr>
          <w:i/>
          <w:iCs/>
        </w:rPr>
        <w:t>▪ Wydatki związane z przygotowaniem projektu niezbędne do jego realizacji można ująć we wniosku koszt przygotowania wniosku aplikacyjnego oraz koszt Programu Funkcjonalno-Użytkowego?</w:t>
      </w:r>
    </w:p>
    <w:p w14:paraId="6B44F00E" w14:textId="316A6A0A" w:rsidR="001761AA" w:rsidRDefault="001761AA" w:rsidP="00CF5457">
      <w:pPr>
        <w:spacing w:after="120" w:line="276" w:lineRule="auto"/>
        <w:jc w:val="both"/>
        <w:rPr>
          <w:u w:val="single"/>
        </w:rPr>
      </w:pPr>
      <w:r w:rsidRPr="00CA0DB0">
        <w:rPr>
          <w:u w:val="single"/>
        </w:rPr>
        <w:t>Odpowiedź:</w:t>
      </w:r>
    </w:p>
    <w:p w14:paraId="6D969C05" w14:textId="706DC357" w:rsidR="00CA0DB0" w:rsidRDefault="001E0390" w:rsidP="00505097">
      <w:pPr>
        <w:spacing w:after="160" w:line="276" w:lineRule="auto"/>
        <w:jc w:val="both"/>
      </w:pPr>
      <w:r>
        <w:t xml:space="preserve">Zgodnie z zapisami punktu 6.5 </w:t>
      </w:r>
      <w:r w:rsidRPr="001E0390">
        <w:rPr>
          <w:i/>
          <w:iCs/>
        </w:rPr>
        <w:t>Regulaminu wyboru projektów</w:t>
      </w:r>
      <w:r>
        <w:t xml:space="preserve">, kosztami kwalifikowalnymi </w:t>
      </w:r>
      <w:r>
        <w:br/>
        <w:t xml:space="preserve">w mogą być wydatki związane z przygotowaniem projektu niezbędne do jego realizacji.   </w:t>
      </w:r>
      <w:r w:rsidR="008B180E">
        <w:t xml:space="preserve">Mając na uwadze </w:t>
      </w:r>
      <w:r>
        <w:t>powyższe</w:t>
      </w:r>
      <w:r w:rsidR="008B180E">
        <w:rPr>
          <w:i/>
          <w:iCs/>
        </w:rPr>
        <w:t xml:space="preserve">, </w:t>
      </w:r>
      <w:r w:rsidR="008B180E" w:rsidRPr="008B180E">
        <w:t>co do zasady</w:t>
      </w:r>
      <w:r w:rsidR="008B180E">
        <w:rPr>
          <w:i/>
          <w:iCs/>
        </w:rPr>
        <w:t xml:space="preserve"> </w:t>
      </w:r>
      <w:r w:rsidR="008B180E">
        <w:t>k</w:t>
      </w:r>
      <w:r w:rsidR="00D85BCD" w:rsidRPr="00D85BCD">
        <w:t>oszt</w:t>
      </w:r>
      <w:r w:rsidR="00D85BCD">
        <w:t>y</w:t>
      </w:r>
      <w:r w:rsidR="00D85BCD" w:rsidRPr="00D85BCD">
        <w:t xml:space="preserve"> </w:t>
      </w:r>
      <w:r w:rsidR="00D85BCD">
        <w:t xml:space="preserve">przygotowania wniosku aplikacyjnego oraz Programu Funkcjonalno-Użytkowego </w:t>
      </w:r>
      <w:r w:rsidR="00CF5457">
        <w:t>mogą zostać uznane za kwalifikowalne</w:t>
      </w:r>
      <w:r w:rsidR="008B180E">
        <w:t xml:space="preserve">, przy </w:t>
      </w:r>
      <w:r>
        <w:t>spełnieniu</w:t>
      </w:r>
      <w:r w:rsidR="008B180E">
        <w:t xml:space="preserve"> pozostałych wymagań co do kwalifikowalności wydatków określonych w </w:t>
      </w:r>
      <w:r w:rsidR="008B180E" w:rsidRPr="008B180E">
        <w:rPr>
          <w:i/>
          <w:iCs/>
        </w:rPr>
        <w:t>Wytycznych</w:t>
      </w:r>
      <w:r>
        <w:rPr>
          <w:i/>
          <w:iCs/>
        </w:rPr>
        <w:t xml:space="preserve"> dotyczących kwalifikowalności wydatków na lata 2021-2027</w:t>
      </w:r>
      <w:r w:rsidR="008B180E">
        <w:t>.</w:t>
      </w:r>
    </w:p>
    <w:p w14:paraId="756BA0D4" w14:textId="6797469B" w:rsidR="00452363" w:rsidRDefault="00452363" w:rsidP="00452363">
      <w:pPr>
        <w:spacing w:after="160" w:line="276" w:lineRule="auto"/>
        <w:jc w:val="both"/>
        <w:rPr>
          <w:b/>
          <w:bCs/>
          <w:u w:val="single"/>
        </w:rPr>
      </w:pPr>
      <w:r>
        <w:rPr>
          <w:b/>
          <w:bCs/>
          <w:highlight w:val="green"/>
          <w:u w:val="single"/>
        </w:rPr>
        <w:t>01</w:t>
      </w:r>
      <w:r w:rsidRPr="009F3A7F">
        <w:rPr>
          <w:b/>
          <w:bCs/>
          <w:highlight w:val="green"/>
          <w:u w:val="single"/>
        </w:rPr>
        <w:t>.</w:t>
      </w:r>
      <w:r>
        <w:rPr>
          <w:b/>
          <w:bCs/>
          <w:highlight w:val="green"/>
          <w:u w:val="single"/>
        </w:rPr>
        <w:t>10</w:t>
      </w:r>
      <w:r w:rsidRPr="009F3A7F">
        <w:rPr>
          <w:b/>
          <w:bCs/>
          <w:highlight w:val="green"/>
          <w:u w:val="single"/>
        </w:rPr>
        <w:t>.2024:</w:t>
      </w:r>
    </w:p>
    <w:p w14:paraId="6D04FC8D" w14:textId="6C4BAF19" w:rsidR="00452363" w:rsidRPr="0037068B" w:rsidRDefault="00452363" w:rsidP="00452363">
      <w:pPr>
        <w:spacing w:after="120" w:line="276" w:lineRule="auto"/>
        <w:jc w:val="both"/>
        <w:rPr>
          <w:i/>
          <w:iCs/>
        </w:rPr>
      </w:pPr>
      <w:r w:rsidRPr="0037068B">
        <w:rPr>
          <w:i/>
          <w:iCs/>
          <w:u w:val="single"/>
        </w:rPr>
        <w:t>Pytanie 1:</w:t>
      </w:r>
      <w:r w:rsidRPr="0037068B">
        <w:rPr>
          <w:i/>
          <w:iCs/>
        </w:rPr>
        <w:t xml:space="preserve"> </w:t>
      </w:r>
      <w:r>
        <w:rPr>
          <w:i/>
          <w:iCs/>
        </w:rPr>
        <w:t>Czy wnioskodawcą w naborze może być spółdzielnia energetyczna i/lub klaser energii?</w:t>
      </w:r>
    </w:p>
    <w:p w14:paraId="7359A03C" w14:textId="77777777" w:rsidR="00452363" w:rsidRDefault="00452363" w:rsidP="00452363">
      <w:pPr>
        <w:spacing w:after="120" w:line="276" w:lineRule="auto"/>
        <w:jc w:val="both"/>
        <w:rPr>
          <w:u w:val="single"/>
        </w:rPr>
      </w:pPr>
      <w:r w:rsidRPr="00CA0DB0">
        <w:rPr>
          <w:u w:val="single"/>
        </w:rPr>
        <w:t>Odpowiedź:</w:t>
      </w:r>
    </w:p>
    <w:p w14:paraId="5065171B" w14:textId="61B6F3D7" w:rsidR="00452363" w:rsidRDefault="00452363" w:rsidP="00452363">
      <w:pPr>
        <w:spacing w:after="120" w:line="276" w:lineRule="auto"/>
        <w:jc w:val="both"/>
      </w:pPr>
      <w:r w:rsidRPr="007A05CD">
        <w:t xml:space="preserve">Odpowiedź </w:t>
      </w:r>
      <w:r>
        <w:t>zawiera się w odpowiedzi na</w:t>
      </w:r>
      <w:r w:rsidRPr="007A05CD">
        <w:t xml:space="preserve"> pytani</w:t>
      </w:r>
      <w:r>
        <w:t>e</w:t>
      </w:r>
      <w:r w:rsidRPr="007A05CD">
        <w:t xml:space="preserve"> nr </w:t>
      </w:r>
      <w:r>
        <w:t>9</w:t>
      </w:r>
      <w:r w:rsidRPr="007A05CD">
        <w:t xml:space="preserve"> – powyżej. </w:t>
      </w:r>
    </w:p>
    <w:p w14:paraId="1664FABF" w14:textId="77777777" w:rsidR="00452363" w:rsidRDefault="00452363" w:rsidP="00452363">
      <w:pPr>
        <w:spacing w:after="160" w:line="276" w:lineRule="auto"/>
        <w:jc w:val="both"/>
        <w:rPr>
          <w:b/>
          <w:bCs/>
          <w:u w:val="single"/>
        </w:rPr>
      </w:pPr>
    </w:p>
    <w:p w14:paraId="4A14725D" w14:textId="4F7D3395" w:rsidR="004E4979" w:rsidRDefault="004E4979" w:rsidP="004E4979">
      <w:pPr>
        <w:spacing w:after="160" w:line="276" w:lineRule="auto"/>
        <w:jc w:val="both"/>
        <w:rPr>
          <w:b/>
          <w:bCs/>
          <w:u w:val="single"/>
        </w:rPr>
      </w:pPr>
      <w:r>
        <w:rPr>
          <w:b/>
          <w:bCs/>
          <w:highlight w:val="green"/>
          <w:u w:val="single"/>
        </w:rPr>
        <w:t>02</w:t>
      </w:r>
      <w:r w:rsidRPr="009F3A7F">
        <w:rPr>
          <w:b/>
          <w:bCs/>
          <w:highlight w:val="green"/>
          <w:u w:val="single"/>
        </w:rPr>
        <w:t>.</w:t>
      </w:r>
      <w:r>
        <w:rPr>
          <w:b/>
          <w:bCs/>
          <w:highlight w:val="green"/>
          <w:u w:val="single"/>
        </w:rPr>
        <w:t>10</w:t>
      </w:r>
      <w:r w:rsidRPr="009F3A7F">
        <w:rPr>
          <w:b/>
          <w:bCs/>
          <w:highlight w:val="green"/>
          <w:u w:val="single"/>
        </w:rPr>
        <w:t>.2024:</w:t>
      </w:r>
    </w:p>
    <w:p w14:paraId="2F67C39A" w14:textId="0BDA19AE" w:rsidR="004E4979" w:rsidRPr="004E4979" w:rsidRDefault="004E4979" w:rsidP="004E4979">
      <w:pPr>
        <w:spacing w:after="120" w:line="276" w:lineRule="auto"/>
        <w:jc w:val="both"/>
        <w:rPr>
          <w:i/>
          <w:iCs/>
        </w:rPr>
      </w:pPr>
      <w:r w:rsidRPr="0037068B">
        <w:rPr>
          <w:i/>
          <w:iCs/>
          <w:u w:val="single"/>
        </w:rPr>
        <w:t>Pytanie 1:</w:t>
      </w:r>
      <w:r w:rsidRPr="0037068B">
        <w:rPr>
          <w:i/>
          <w:iCs/>
        </w:rPr>
        <w:t xml:space="preserve"> </w:t>
      </w:r>
      <w:r w:rsidRPr="004E4979">
        <w:rPr>
          <w:i/>
          <w:iCs/>
        </w:rPr>
        <w:t>Czy w momencie składania wniosku o dofinansowanie wymagane jest</w:t>
      </w:r>
      <w:r>
        <w:rPr>
          <w:i/>
          <w:iCs/>
        </w:rPr>
        <w:t>,</w:t>
      </w:r>
      <w:r w:rsidRPr="004E4979">
        <w:rPr>
          <w:i/>
          <w:iCs/>
        </w:rPr>
        <w:t xml:space="preserve"> aby wnioskodawca miał już wyłonionych beneficjentów ostatecznych/odbiorców?</w:t>
      </w:r>
    </w:p>
    <w:p w14:paraId="0D7424FB" w14:textId="3AC7C037" w:rsidR="004E4979" w:rsidRPr="0037068B" w:rsidRDefault="004E4979" w:rsidP="004E4979">
      <w:pPr>
        <w:spacing w:after="120" w:line="276" w:lineRule="auto"/>
        <w:jc w:val="both"/>
        <w:rPr>
          <w:i/>
          <w:iCs/>
        </w:rPr>
      </w:pPr>
    </w:p>
    <w:p w14:paraId="3BBB5C0B" w14:textId="77777777" w:rsidR="004E4979" w:rsidRDefault="004E4979" w:rsidP="004E4979">
      <w:pPr>
        <w:spacing w:after="120" w:line="276" w:lineRule="auto"/>
        <w:jc w:val="both"/>
        <w:rPr>
          <w:u w:val="single"/>
        </w:rPr>
      </w:pPr>
      <w:r w:rsidRPr="00CA0DB0">
        <w:rPr>
          <w:u w:val="single"/>
        </w:rPr>
        <w:t>Odpowiedź:</w:t>
      </w:r>
    </w:p>
    <w:p w14:paraId="4B67EF67" w14:textId="5D9AB9C2" w:rsidR="004B46E6" w:rsidRDefault="00950503" w:rsidP="00B52105">
      <w:pPr>
        <w:spacing w:line="276" w:lineRule="auto"/>
        <w:jc w:val="both"/>
      </w:pPr>
      <w:r>
        <w:t>W celu p</w:t>
      </w:r>
      <w:r w:rsidR="00A45F01">
        <w:t>rawidłowego</w:t>
      </w:r>
      <w:r>
        <w:t xml:space="preserve"> przygotowania projektu, w tym przedstawienia racjonalnego i opartego </w:t>
      </w:r>
      <w:r w:rsidR="00B52105">
        <w:t>na faktycznych</w:t>
      </w:r>
      <w:r>
        <w:t xml:space="preserve"> potrzebach szczegółowego zakresu oraz kosztów </w:t>
      </w:r>
      <w:r w:rsidR="00A45F01">
        <w:t xml:space="preserve">projektu </w:t>
      </w:r>
      <w:r>
        <w:t xml:space="preserve">zasadnym jest, aby przed złożeniem wniosku o dofinansowanie </w:t>
      </w:r>
      <w:r w:rsidR="00A45F01">
        <w:t xml:space="preserve">jego wnioskodawca </w:t>
      </w:r>
      <w:r>
        <w:t>dysponowa</w:t>
      </w:r>
      <w:r w:rsidR="00A45F01">
        <w:t>ł</w:t>
      </w:r>
      <w:r>
        <w:t xml:space="preserve"> weryfikowalnymi danymi, pochodzącymi z rozeznania rzeczywistego zainteresowania uczestnictwem </w:t>
      </w:r>
      <w:r w:rsidR="00B52105">
        <w:br/>
      </w:r>
      <w:r>
        <w:t xml:space="preserve">w projekcie </w:t>
      </w:r>
      <w:r w:rsidR="00A45F01">
        <w:t xml:space="preserve">ze strony </w:t>
      </w:r>
      <w:r>
        <w:t>konkretn</w:t>
      </w:r>
      <w:r w:rsidR="00A45F01">
        <w:t>ych</w:t>
      </w:r>
      <w:r>
        <w:t xml:space="preserve"> gospodarstw domow</w:t>
      </w:r>
      <w:r w:rsidR="00A45F01">
        <w:t>ych</w:t>
      </w:r>
      <w:r>
        <w:t>. W tym celu zasadne jest, aby n</w:t>
      </w:r>
      <w:r w:rsidR="004E4979">
        <w:t xml:space="preserve">a </w:t>
      </w:r>
      <w:r w:rsidR="00A45F01">
        <w:t>moment przygotowania projektu i jego</w:t>
      </w:r>
      <w:r w:rsidR="004E4979">
        <w:t xml:space="preserve"> składania </w:t>
      </w:r>
      <w:r w:rsidR="004B46E6">
        <w:t xml:space="preserve">wnioskodawca </w:t>
      </w:r>
      <w:r w:rsidR="004E4979">
        <w:t>dysponowa</w:t>
      </w:r>
      <w:r w:rsidR="004B46E6">
        <w:t>ł</w:t>
      </w:r>
      <w:r w:rsidR="004E4979">
        <w:t xml:space="preserve"> </w:t>
      </w:r>
      <w:r w:rsidR="00A45F01">
        <w:t xml:space="preserve">(przynajmniej </w:t>
      </w:r>
      <w:r w:rsidR="004E4979">
        <w:t>wstępną</w:t>
      </w:r>
      <w:r w:rsidR="00A45F01">
        <w:t>)</w:t>
      </w:r>
      <w:r w:rsidR="004E4979">
        <w:t xml:space="preserve"> listą uczestników/odbiorców końcowych</w:t>
      </w:r>
      <w:r w:rsidR="00A45F01">
        <w:t xml:space="preserve">, co pozwoli </w:t>
      </w:r>
      <w:r w:rsidR="00B52105">
        <w:t>na precyzyjne</w:t>
      </w:r>
      <w:r w:rsidR="00A45F01">
        <w:t xml:space="preserve"> opisanie projektu i określenie wartości docelowych </w:t>
      </w:r>
      <w:r w:rsidR="004E4979">
        <w:t xml:space="preserve">wskaźników realizacji </w:t>
      </w:r>
      <w:r w:rsidR="00A45F01">
        <w:t xml:space="preserve">jego </w:t>
      </w:r>
      <w:r w:rsidR="004E4979">
        <w:t>celów</w:t>
      </w:r>
      <w:r w:rsidR="004E4979" w:rsidRPr="007A05CD">
        <w:t xml:space="preserve">. </w:t>
      </w:r>
    </w:p>
    <w:p w14:paraId="1DC6E7F1" w14:textId="367897E5" w:rsidR="004E4979" w:rsidRDefault="00A45F01" w:rsidP="004E4979">
      <w:pPr>
        <w:spacing w:after="120" w:line="276" w:lineRule="auto"/>
        <w:jc w:val="both"/>
      </w:pPr>
      <w:r>
        <w:t>Dodatkowo należy mieć na uwadze, że system oceny projektów przewiduje preferencje punktowe dla projektów</w:t>
      </w:r>
      <w:r w:rsidR="004E4979">
        <w:t xml:space="preserve"> posiada</w:t>
      </w:r>
      <w:r>
        <w:t>jących</w:t>
      </w:r>
      <w:r w:rsidR="004E4979">
        <w:t xml:space="preserve"> </w:t>
      </w:r>
      <w:r>
        <w:t>p</w:t>
      </w:r>
      <w:r w:rsidRPr="00A45F01">
        <w:t>rocedur</w:t>
      </w:r>
      <w:r>
        <w:t>ę</w:t>
      </w:r>
      <w:r w:rsidRPr="00A45F01">
        <w:t xml:space="preserve"> i kryteria naboru uczestników/odbiorców końcowych</w:t>
      </w:r>
      <w:r>
        <w:t xml:space="preserve"> zgodnie z metodologią oceny opisaną</w:t>
      </w:r>
      <w:r w:rsidR="0096610A">
        <w:t xml:space="preserve"> w </w:t>
      </w:r>
      <w:r w:rsidR="0096610A" w:rsidRPr="0096610A">
        <w:rPr>
          <w:i/>
          <w:iCs/>
        </w:rPr>
        <w:t>Kryterium merytorycznym punktowym n</w:t>
      </w:r>
      <w:r>
        <w:rPr>
          <w:i/>
          <w:iCs/>
        </w:rPr>
        <w:t>ume</w:t>
      </w:r>
      <w:r w:rsidR="0096610A" w:rsidRPr="0096610A">
        <w:rPr>
          <w:i/>
          <w:iCs/>
        </w:rPr>
        <w:t xml:space="preserve">r </w:t>
      </w:r>
      <w:r w:rsidR="0096610A">
        <w:rPr>
          <w:i/>
          <w:iCs/>
        </w:rPr>
        <w:t>3</w:t>
      </w:r>
      <w:r w:rsidR="0096610A">
        <w:t xml:space="preserve">. </w:t>
      </w:r>
    </w:p>
    <w:p w14:paraId="0B1B09EC" w14:textId="29FE03A4" w:rsidR="0096610A" w:rsidRPr="0096610A" w:rsidRDefault="0096610A" w:rsidP="004E4979">
      <w:pPr>
        <w:spacing w:after="120" w:line="276" w:lineRule="auto"/>
        <w:jc w:val="both"/>
      </w:pPr>
    </w:p>
    <w:p w14:paraId="23EFE71B" w14:textId="77777777" w:rsidR="00452363" w:rsidRPr="00505097" w:rsidRDefault="00452363" w:rsidP="00505097">
      <w:pPr>
        <w:spacing w:after="160" w:line="276" w:lineRule="auto"/>
        <w:jc w:val="both"/>
      </w:pPr>
    </w:p>
    <w:sectPr w:rsidR="00452363" w:rsidRPr="00505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4D8"/>
    <w:multiLevelType w:val="multilevel"/>
    <w:tmpl w:val="B30A2814"/>
    <w:lvl w:ilvl="0">
      <w:start w:val="1"/>
      <w:numFmt w:val="decimal"/>
      <w:lvlText w:val="%1."/>
      <w:lvlJc w:val="left"/>
      <w:pPr>
        <w:ind w:left="644" w:hanging="360"/>
      </w:pPr>
      <w:rPr>
        <w:rFonts w:hint="default"/>
      </w:rPr>
    </w:lvl>
    <w:lvl w:ilvl="1">
      <w:start w:val="1"/>
      <w:numFmt w:val="decimal"/>
      <w:isLgl/>
      <w:lvlText w:val="%1.%2"/>
      <w:lvlJc w:val="left"/>
      <w:pPr>
        <w:ind w:left="0" w:firstLine="4962"/>
      </w:pPr>
      <w:rPr>
        <w:rFonts w:hint="default"/>
        <w:b w:val="0"/>
        <w:bCs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326909"/>
    <w:multiLevelType w:val="hybridMultilevel"/>
    <w:tmpl w:val="F1BC59E0"/>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295DB3"/>
    <w:multiLevelType w:val="hybridMultilevel"/>
    <w:tmpl w:val="DB6EA4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1246666"/>
    <w:multiLevelType w:val="hybridMultilevel"/>
    <w:tmpl w:val="5F0CE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C97943"/>
    <w:multiLevelType w:val="hybridMultilevel"/>
    <w:tmpl w:val="47D40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790714">
    <w:abstractNumId w:val="3"/>
  </w:num>
  <w:num w:numId="2" w16cid:durableId="1789348198">
    <w:abstractNumId w:val="4"/>
  </w:num>
  <w:num w:numId="3" w16cid:durableId="125661022">
    <w:abstractNumId w:val="1"/>
  </w:num>
  <w:num w:numId="4" w16cid:durableId="247813069">
    <w:abstractNumId w:val="0"/>
  </w:num>
  <w:num w:numId="5" w16cid:durableId="1394501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98"/>
    <w:rsid w:val="00005E7E"/>
    <w:rsid w:val="00083A73"/>
    <w:rsid w:val="00090387"/>
    <w:rsid w:val="000937FA"/>
    <w:rsid w:val="000A701C"/>
    <w:rsid w:val="000E4BC0"/>
    <w:rsid w:val="001719B6"/>
    <w:rsid w:val="001761AA"/>
    <w:rsid w:val="001C0B76"/>
    <w:rsid w:val="001E0390"/>
    <w:rsid w:val="001E05D6"/>
    <w:rsid w:val="00233CDA"/>
    <w:rsid w:val="002A7C40"/>
    <w:rsid w:val="002D2A43"/>
    <w:rsid w:val="002D3717"/>
    <w:rsid w:val="0037068B"/>
    <w:rsid w:val="003829F7"/>
    <w:rsid w:val="0038444D"/>
    <w:rsid w:val="00452363"/>
    <w:rsid w:val="004966F7"/>
    <w:rsid w:val="004A30D6"/>
    <w:rsid w:val="004B46E6"/>
    <w:rsid w:val="004D520F"/>
    <w:rsid w:val="004E4979"/>
    <w:rsid w:val="00505097"/>
    <w:rsid w:val="0055108E"/>
    <w:rsid w:val="00581C33"/>
    <w:rsid w:val="005A3708"/>
    <w:rsid w:val="005B531A"/>
    <w:rsid w:val="005E1E10"/>
    <w:rsid w:val="00634396"/>
    <w:rsid w:val="00693512"/>
    <w:rsid w:val="006937F9"/>
    <w:rsid w:val="00696E8E"/>
    <w:rsid w:val="00697270"/>
    <w:rsid w:val="00720AA5"/>
    <w:rsid w:val="00735E8F"/>
    <w:rsid w:val="007A05CD"/>
    <w:rsid w:val="007C6B77"/>
    <w:rsid w:val="0085320F"/>
    <w:rsid w:val="00887DDA"/>
    <w:rsid w:val="00895AB3"/>
    <w:rsid w:val="008A2998"/>
    <w:rsid w:val="008B180E"/>
    <w:rsid w:val="008B42EE"/>
    <w:rsid w:val="00905AB3"/>
    <w:rsid w:val="00914476"/>
    <w:rsid w:val="00950503"/>
    <w:rsid w:val="00957381"/>
    <w:rsid w:val="0096610A"/>
    <w:rsid w:val="009A3B98"/>
    <w:rsid w:val="009A6751"/>
    <w:rsid w:val="009E42FF"/>
    <w:rsid w:val="009F3A7F"/>
    <w:rsid w:val="009F4486"/>
    <w:rsid w:val="00A30B06"/>
    <w:rsid w:val="00A45F01"/>
    <w:rsid w:val="00A54F80"/>
    <w:rsid w:val="00A905A7"/>
    <w:rsid w:val="00AE2005"/>
    <w:rsid w:val="00B15EC2"/>
    <w:rsid w:val="00B513AC"/>
    <w:rsid w:val="00B52105"/>
    <w:rsid w:val="00B67ABF"/>
    <w:rsid w:val="00B67E8C"/>
    <w:rsid w:val="00B9724E"/>
    <w:rsid w:val="00BA716E"/>
    <w:rsid w:val="00BA73B7"/>
    <w:rsid w:val="00BB3403"/>
    <w:rsid w:val="00BC7B1D"/>
    <w:rsid w:val="00BF1BB5"/>
    <w:rsid w:val="00C42370"/>
    <w:rsid w:val="00C7247A"/>
    <w:rsid w:val="00C874C1"/>
    <w:rsid w:val="00CA0DB0"/>
    <w:rsid w:val="00CC45C1"/>
    <w:rsid w:val="00CD1401"/>
    <w:rsid w:val="00CD468A"/>
    <w:rsid w:val="00CF1C01"/>
    <w:rsid w:val="00CF5457"/>
    <w:rsid w:val="00D03DAA"/>
    <w:rsid w:val="00D85BCD"/>
    <w:rsid w:val="00D93375"/>
    <w:rsid w:val="00D95AAC"/>
    <w:rsid w:val="00DA2018"/>
    <w:rsid w:val="00DA5E4E"/>
    <w:rsid w:val="00DB6E6D"/>
    <w:rsid w:val="00DC5E5E"/>
    <w:rsid w:val="00E044EF"/>
    <w:rsid w:val="00E1038B"/>
    <w:rsid w:val="00E51E48"/>
    <w:rsid w:val="00E97570"/>
    <w:rsid w:val="00EA015D"/>
    <w:rsid w:val="00EA7BA1"/>
    <w:rsid w:val="00EB56A6"/>
    <w:rsid w:val="00ED1FCF"/>
    <w:rsid w:val="00F07DBA"/>
    <w:rsid w:val="00F41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FC1D"/>
  <w15:chartTrackingRefBased/>
  <w15:docId w15:val="{BF67A7F6-98A5-4622-A44B-65D475FD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3B98"/>
    <w:pPr>
      <w:spacing w:after="0" w:line="360" w:lineRule="auto"/>
    </w:pPr>
    <w:rPr>
      <w:rFonts w:ascii="Times New Roman" w:hAnsi="Times New Roman" w:cs="Times New Roman"/>
      <w:kern w:val="0"/>
      <w:sz w:val="24"/>
      <w:szCs w:val="24"/>
      <w14:ligatures w14:val="none"/>
    </w:rPr>
  </w:style>
  <w:style w:type="paragraph" w:styleId="Nagwek2">
    <w:name w:val="heading 2"/>
    <w:basedOn w:val="Normalny"/>
    <w:next w:val="Normalny"/>
    <w:link w:val="Nagwek2Znak"/>
    <w:uiPriority w:val="9"/>
    <w:semiHidden/>
    <w:unhideWhenUsed/>
    <w:qFormat/>
    <w:rsid w:val="00895A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3B98"/>
    <w:pPr>
      <w:ind w:left="720"/>
      <w:contextualSpacing/>
    </w:pPr>
  </w:style>
  <w:style w:type="character" w:styleId="Odwoaniedokomentarza">
    <w:name w:val="annotation reference"/>
    <w:basedOn w:val="Domylnaczcionkaakapitu"/>
    <w:uiPriority w:val="99"/>
    <w:semiHidden/>
    <w:unhideWhenUsed/>
    <w:rsid w:val="00233CDA"/>
    <w:rPr>
      <w:sz w:val="16"/>
      <w:szCs w:val="16"/>
    </w:rPr>
  </w:style>
  <w:style w:type="paragraph" w:styleId="Tekstkomentarza">
    <w:name w:val="annotation text"/>
    <w:basedOn w:val="Normalny"/>
    <w:link w:val="TekstkomentarzaZnak"/>
    <w:uiPriority w:val="99"/>
    <w:semiHidden/>
    <w:unhideWhenUsed/>
    <w:rsid w:val="00233C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3CDA"/>
    <w:rPr>
      <w:rFonts w:ascii="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33CDA"/>
    <w:rPr>
      <w:b/>
      <w:bCs/>
    </w:rPr>
  </w:style>
  <w:style w:type="character" w:customStyle="1" w:styleId="TematkomentarzaZnak">
    <w:name w:val="Temat komentarza Znak"/>
    <w:basedOn w:val="TekstkomentarzaZnak"/>
    <w:link w:val="Tematkomentarza"/>
    <w:uiPriority w:val="99"/>
    <w:semiHidden/>
    <w:rsid w:val="00233CDA"/>
    <w:rPr>
      <w:rFonts w:ascii="Times New Roman" w:hAnsi="Times New Roman" w:cs="Times New Roman"/>
      <w:b/>
      <w:bCs/>
      <w:kern w:val="0"/>
      <w:sz w:val="20"/>
      <w:szCs w:val="20"/>
      <w14:ligatures w14:val="none"/>
    </w:rPr>
  </w:style>
  <w:style w:type="character" w:styleId="Pogrubienie">
    <w:name w:val="Strong"/>
    <w:basedOn w:val="Domylnaczcionkaakapitu"/>
    <w:uiPriority w:val="22"/>
    <w:qFormat/>
    <w:rsid w:val="00005E7E"/>
    <w:rPr>
      <w:b/>
      <w:bCs/>
    </w:rPr>
  </w:style>
  <w:style w:type="character" w:customStyle="1" w:styleId="hgkelc">
    <w:name w:val="hgkelc"/>
    <w:basedOn w:val="Domylnaczcionkaakapitu"/>
    <w:rsid w:val="00005E7E"/>
  </w:style>
  <w:style w:type="paragraph" w:styleId="NormalnyWeb">
    <w:name w:val="Normal (Web)"/>
    <w:basedOn w:val="Normalny"/>
    <w:uiPriority w:val="99"/>
    <w:unhideWhenUsed/>
    <w:rsid w:val="00720AA5"/>
    <w:pPr>
      <w:spacing w:before="100" w:beforeAutospacing="1" w:after="100" w:afterAutospacing="1" w:line="240" w:lineRule="auto"/>
    </w:pPr>
    <w:rPr>
      <w:rFonts w:eastAsia="Times New Roman"/>
      <w:lang w:eastAsia="pl-PL"/>
    </w:rPr>
  </w:style>
  <w:style w:type="character" w:customStyle="1" w:styleId="dobrerady">
    <w:name w:val="dobre_rady"/>
    <w:basedOn w:val="Domylnaczcionkaakapitu"/>
    <w:rsid w:val="00E044EF"/>
  </w:style>
  <w:style w:type="character" w:customStyle="1" w:styleId="span3">
    <w:name w:val="span3"/>
    <w:basedOn w:val="Domylnaczcionkaakapitu"/>
    <w:rsid w:val="00DB6E6D"/>
  </w:style>
  <w:style w:type="character" w:customStyle="1" w:styleId="Nagwek2Znak">
    <w:name w:val="Nagłówek 2 Znak"/>
    <w:basedOn w:val="Domylnaczcionkaakapitu"/>
    <w:link w:val="Nagwek2"/>
    <w:uiPriority w:val="9"/>
    <w:semiHidden/>
    <w:rsid w:val="00895AB3"/>
    <w:rPr>
      <w:rFonts w:asciiTheme="majorHAnsi" w:eastAsiaTheme="majorEastAsia" w:hAnsiTheme="majorHAnsi" w:cstheme="majorBidi"/>
      <w:color w:val="2F5496" w:themeColor="accent1" w:themeShade="BF"/>
      <w:kern w:val="0"/>
      <w:sz w:val="26"/>
      <w:szCs w:val="26"/>
      <w14:ligatures w14:val="none"/>
    </w:rPr>
  </w:style>
  <w:style w:type="paragraph" w:styleId="Zwykytekst">
    <w:name w:val="Plain Text"/>
    <w:basedOn w:val="Normalny"/>
    <w:link w:val="ZwykytekstZnak"/>
    <w:uiPriority w:val="99"/>
    <w:semiHidden/>
    <w:unhideWhenUsed/>
    <w:rsid w:val="004E4979"/>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4E4979"/>
    <w:rPr>
      <w:rFonts w:ascii="Consolas" w:hAnsi="Consolas"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18903">
      <w:bodyDiv w:val="1"/>
      <w:marLeft w:val="0"/>
      <w:marRight w:val="0"/>
      <w:marTop w:val="0"/>
      <w:marBottom w:val="0"/>
      <w:divBdr>
        <w:top w:val="none" w:sz="0" w:space="0" w:color="auto"/>
        <w:left w:val="none" w:sz="0" w:space="0" w:color="auto"/>
        <w:bottom w:val="none" w:sz="0" w:space="0" w:color="auto"/>
        <w:right w:val="none" w:sz="0" w:space="0" w:color="auto"/>
      </w:divBdr>
    </w:div>
    <w:div w:id="1370060935">
      <w:bodyDiv w:val="1"/>
      <w:marLeft w:val="0"/>
      <w:marRight w:val="0"/>
      <w:marTop w:val="0"/>
      <w:marBottom w:val="0"/>
      <w:divBdr>
        <w:top w:val="none" w:sz="0" w:space="0" w:color="auto"/>
        <w:left w:val="none" w:sz="0" w:space="0" w:color="auto"/>
        <w:bottom w:val="none" w:sz="0" w:space="0" w:color="auto"/>
        <w:right w:val="none" w:sz="0" w:space="0" w:color="auto"/>
      </w:divBdr>
    </w:div>
    <w:div w:id="1553544129">
      <w:bodyDiv w:val="1"/>
      <w:marLeft w:val="0"/>
      <w:marRight w:val="0"/>
      <w:marTop w:val="0"/>
      <w:marBottom w:val="0"/>
      <w:divBdr>
        <w:top w:val="none" w:sz="0" w:space="0" w:color="auto"/>
        <w:left w:val="none" w:sz="0" w:space="0" w:color="auto"/>
        <w:bottom w:val="none" w:sz="0" w:space="0" w:color="auto"/>
        <w:right w:val="none" w:sz="0" w:space="0" w:color="auto"/>
      </w:divBdr>
    </w:div>
    <w:div w:id="1588151585">
      <w:bodyDiv w:val="1"/>
      <w:marLeft w:val="0"/>
      <w:marRight w:val="0"/>
      <w:marTop w:val="0"/>
      <w:marBottom w:val="0"/>
      <w:divBdr>
        <w:top w:val="none" w:sz="0" w:space="0" w:color="auto"/>
        <w:left w:val="none" w:sz="0" w:space="0" w:color="auto"/>
        <w:bottom w:val="none" w:sz="0" w:space="0" w:color="auto"/>
        <w:right w:val="none" w:sz="0" w:space="0" w:color="auto"/>
      </w:divBdr>
    </w:div>
    <w:div w:id="1888954079">
      <w:bodyDiv w:val="1"/>
      <w:marLeft w:val="0"/>
      <w:marRight w:val="0"/>
      <w:marTop w:val="0"/>
      <w:marBottom w:val="0"/>
      <w:divBdr>
        <w:top w:val="none" w:sz="0" w:space="0" w:color="auto"/>
        <w:left w:val="none" w:sz="0" w:space="0" w:color="auto"/>
        <w:bottom w:val="none" w:sz="0" w:space="0" w:color="auto"/>
        <w:right w:val="none" w:sz="0" w:space="0" w:color="auto"/>
      </w:divBdr>
    </w:div>
    <w:div w:id="19565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2512</Words>
  <Characters>15078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Aneta</dc:creator>
  <cp:keywords/>
  <dc:description/>
  <cp:lastModifiedBy>Wieczorek, Magdalena</cp:lastModifiedBy>
  <cp:revision>7</cp:revision>
  <dcterms:created xsi:type="dcterms:W3CDTF">2024-10-01T12:43:00Z</dcterms:created>
  <dcterms:modified xsi:type="dcterms:W3CDTF">2024-10-04T12:42:00Z</dcterms:modified>
</cp:coreProperties>
</file>