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B7EF5" w14:textId="77777777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217B3B02" w14:textId="0A4A95A6" w:rsidR="00F1756B" w:rsidRDefault="00DC59CE" w:rsidP="00DC59CE">
      <w:pPr>
        <w:jc w:val="center"/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Pr="00624A65">
        <w:rPr>
          <w:b/>
          <w:bCs/>
        </w:rPr>
        <w:t>DLA DZIAŁANIA 2</w:t>
      </w:r>
      <w:r>
        <w:rPr>
          <w:b/>
          <w:bCs/>
        </w:rPr>
        <w:t>.</w:t>
      </w:r>
      <w:r w:rsidR="006D3A4C">
        <w:rPr>
          <w:b/>
          <w:bCs/>
        </w:rPr>
        <w:t>5</w:t>
      </w:r>
      <w:r>
        <w:rPr>
          <w:b/>
          <w:bCs/>
        </w:rPr>
        <w:t xml:space="preserve"> </w:t>
      </w:r>
      <w:r w:rsidR="00D45E50">
        <w:rPr>
          <w:b/>
          <w:bCs/>
        </w:rPr>
        <w:t>Gospodarowanie zasobami wody i przeciwdziałanie klęskom żywiołowym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FE805B1" w14:textId="0E074850" w:rsidR="00EB3AC4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2</w:t>
            </w:r>
            <w:r w:rsidR="0019186F">
              <w:rPr>
                <w:b/>
                <w:bCs/>
              </w:rPr>
              <w:t xml:space="preserve"> </w:t>
            </w:r>
            <w:r w:rsidRPr="00DC59CE">
              <w:rPr>
                <w:b/>
                <w:bCs/>
              </w:rPr>
              <w:t>Fundusze Europejskie dla środowiska</w:t>
            </w: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74B95AE" w14:textId="552B4139" w:rsidR="00EB3AC4" w:rsidRPr="00DC59CE" w:rsidRDefault="00C07169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D45E50">
              <w:rPr>
                <w:b/>
                <w:bCs/>
              </w:rPr>
              <w:t>5 Gospodarowanie zasobami wody i przeciwdziałanie klęskom żywiołowym</w:t>
            </w:r>
          </w:p>
        </w:tc>
      </w:tr>
      <w:tr w:rsidR="00DC59CE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420C72DC" w14:textId="137823A1" w:rsidR="00AA3A16" w:rsidRDefault="00AA3A16" w:rsidP="00C83795">
            <w:pPr>
              <w:rPr>
                <w:b/>
                <w:bCs/>
              </w:rPr>
            </w:pPr>
            <w:r w:rsidRPr="00AA3A16">
              <w:rPr>
                <w:b/>
                <w:bCs/>
              </w:rPr>
              <w:t>1)</w:t>
            </w:r>
            <w:r>
              <w:rPr>
                <w:b/>
                <w:bCs/>
              </w:rPr>
              <w:t xml:space="preserve"> </w:t>
            </w:r>
            <w:r w:rsidR="00C83795" w:rsidRPr="00C83795">
              <w:rPr>
                <w:b/>
                <w:bCs/>
              </w:rPr>
              <w:t>Niezbędne działania w zakresie urządzeń wodnych i infrastruktury hydrotechnicznej służących zmniejszeniu skutków powodzi i suszy (w szczególności: modernizacja/odbudowa urządzeń hydrotechnicznych w celu zwiększenia retencji korytowej oraz gruntowo-glebowej, zbiorniki suche, poldery przeciwpowodziowe, wały przeciwpowodziowe), jeśli naturalne mechanizmy ekosystemowe są niewystarczające, a podjęcie tych działań nie zwiększy zagrożenia w sytuacjach nadzwyczajnych</w:t>
            </w:r>
            <w:r>
              <w:rPr>
                <w:b/>
                <w:bCs/>
              </w:rPr>
              <w:t>;</w:t>
            </w:r>
          </w:p>
          <w:p w14:paraId="578D07BD" w14:textId="77777777" w:rsidR="00AA3A16" w:rsidRPr="00AA3A16" w:rsidRDefault="00AA3A16" w:rsidP="00AA3A16">
            <w:pPr>
              <w:rPr>
                <w:b/>
                <w:bCs/>
              </w:rPr>
            </w:pPr>
          </w:p>
          <w:p w14:paraId="77AE1EDC" w14:textId="4D264719" w:rsidR="00566A92" w:rsidRPr="00DC59CE" w:rsidRDefault="00AA3A16" w:rsidP="00C83795">
            <w:pPr>
              <w:rPr>
                <w:b/>
                <w:bCs/>
              </w:rPr>
            </w:pPr>
            <w:r w:rsidRPr="00AA3A16">
              <w:rPr>
                <w:b/>
                <w:bCs/>
              </w:rPr>
              <w:t>2)</w:t>
            </w:r>
            <w:r>
              <w:rPr>
                <w:b/>
                <w:bCs/>
              </w:rPr>
              <w:t xml:space="preserve"> </w:t>
            </w:r>
            <w:r w:rsidR="00D45E50" w:rsidRPr="00D45E50">
              <w:rPr>
                <w:b/>
                <w:bCs/>
              </w:rPr>
              <w:t>Edukacj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zwiększając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świadomość na temat zmian klimatu, sprzyjając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racjonalnemu korzystaniu z zasobów środowiskowych i wspierając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ochronę zasobów nieodnawialnych oraz promując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bezpieczne zachowania indywidualne i grupowe w sytuacjach zagrożenia ekologicznego, pożarowego, powodziowego (jako element szerszego projektu).</w:t>
            </w:r>
            <w:r w:rsidRPr="00AA3A16">
              <w:rPr>
                <w:b/>
                <w:bCs/>
              </w:rPr>
              <w:t xml:space="preserve"> </w:t>
            </w:r>
          </w:p>
        </w:tc>
      </w:tr>
      <w:tr w:rsidR="00DC59CE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773DA995" w:rsidR="00DC59CE" w:rsidRDefault="00EB3AC4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</w:t>
            </w:r>
            <w:r w:rsidR="00DC59CE" w:rsidRPr="00DC59CE">
              <w:rPr>
                <w:b/>
                <w:bCs/>
              </w:rPr>
              <w:t>onkurencyjny</w:t>
            </w:r>
          </w:p>
          <w:p w14:paraId="795DEAB6" w14:textId="0BBE55A8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D552288" w14:textId="77777777" w:rsidTr="00DC59CE">
        <w:tc>
          <w:tcPr>
            <w:tcW w:w="3539" w:type="dxa"/>
          </w:tcPr>
          <w:p w14:paraId="27B1B994" w14:textId="3DC87117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DC59CE" w:rsidRDefault="00DC59CE" w:rsidP="00DC59CE">
            <w:pPr>
              <w:rPr>
                <w:b/>
                <w:bCs/>
              </w:rPr>
            </w:pPr>
          </w:p>
          <w:p w14:paraId="682923F3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58C5DD8" w14:textId="77777777" w:rsidTr="00DC59CE">
        <w:tc>
          <w:tcPr>
            <w:tcW w:w="3539" w:type="dxa"/>
            <w:shd w:val="clear" w:color="auto" w:fill="E7E6E6" w:themeFill="background2"/>
          </w:tcPr>
          <w:p w14:paraId="161A7B8C" w14:textId="4DA75F1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DC59CE" w:rsidRDefault="00DC59CE" w:rsidP="00DC59CE">
            <w:pPr>
              <w:rPr>
                <w:b/>
                <w:bCs/>
              </w:rPr>
            </w:pPr>
          </w:p>
          <w:p w14:paraId="11026FEC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4860BF6B" w14:textId="77777777" w:rsidTr="00DC59CE">
        <w:tc>
          <w:tcPr>
            <w:tcW w:w="3539" w:type="dxa"/>
          </w:tcPr>
          <w:p w14:paraId="14F8E849" w14:textId="28F8BA9F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DC59CE" w:rsidRDefault="00DC59CE" w:rsidP="00DC59CE">
            <w:pPr>
              <w:rPr>
                <w:b/>
                <w:bCs/>
              </w:rPr>
            </w:pPr>
          </w:p>
          <w:p w14:paraId="2BF3F091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DC59CE" w:rsidRDefault="00DC59CE" w:rsidP="00DC59CE">
            <w:pPr>
              <w:rPr>
                <w:b/>
                <w:bCs/>
              </w:rPr>
            </w:pPr>
          </w:p>
          <w:p w14:paraId="02AC2BF4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8993A87" w14:textId="77777777" w:rsidTr="00DC59CE">
        <w:tc>
          <w:tcPr>
            <w:tcW w:w="3539" w:type="dxa"/>
          </w:tcPr>
          <w:p w14:paraId="00CB1D43" w14:textId="78E3C998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DC59CE" w:rsidRPr="00DC59CE" w:rsidRDefault="00DC59CE" w:rsidP="00DC59CE">
            <w:pPr>
              <w:rPr>
                <w:b/>
                <w:bCs/>
              </w:rPr>
            </w:pPr>
          </w:p>
        </w:tc>
      </w:tr>
      <w:tr w:rsidR="00DC59CE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DC59CE" w:rsidRDefault="00DC59CE" w:rsidP="00DC59CE">
            <w:pPr>
              <w:rPr>
                <w:b/>
                <w:bCs/>
              </w:rPr>
            </w:pPr>
          </w:p>
          <w:p w14:paraId="1CF95EF5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F90B62F" w14:textId="77777777" w:rsidTr="00DC59CE">
        <w:tc>
          <w:tcPr>
            <w:tcW w:w="3539" w:type="dxa"/>
          </w:tcPr>
          <w:p w14:paraId="59604F59" w14:textId="5054E60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DC59CE" w:rsidRDefault="00DC59CE" w:rsidP="00DC59CE">
            <w:pPr>
              <w:rPr>
                <w:b/>
                <w:bCs/>
                <w:color w:val="FF0000"/>
              </w:rPr>
            </w:pPr>
          </w:p>
          <w:p w14:paraId="5ED0E93D" w14:textId="77777777" w:rsidR="00EB3AC4" w:rsidRPr="00DC59CE" w:rsidRDefault="00EB3AC4" w:rsidP="00DC59CE">
            <w:pPr>
              <w:rPr>
                <w:b/>
                <w:bCs/>
                <w:color w:val="FF0000"/>
              </w:rPr>
            </w:pPr>
          </w:p>
        </w:tc>
      </w:tr>
    </w:tbl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lastRenderedPageBreak/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3"/>
        <w:gridCol w:w="2411"/>
        <w:gridCol w:w="4767"/>
        <w:gridCol w:w="1389"/>
        <w:gridCol w:w="893"/>
        <w:gridCol w:w="895"/>
        <w:gridCol w:w="1020"/>
        <w:gridCol w:w="1836"/>
      </w:tblGrid>
      <w:tr w:rsidR="00A67A42" w:rsidRPr="00DC59CE" w14:paraId="0FE232DF" w14:textId="77777777" w:rsidTr="00FB5D3C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767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389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FB5D3C">
        <w:tc>
          <w:tcPr>
            <w:tcW w:w="783" w:type="dxa"/>
          </w:tcPr>
          <w:p w14:paraId="73C63CA5" w14:textId="5B041243" w:rsidR="00DC59CE" w:rsidRDefault="009B434F" w:rsidP="00DC59CE">
            <w:r>
              <w:t>1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64F4D84B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4767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389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FB5D3C">
        <w:tc>
          <w:tcPr>
            <w:tcW w:w="783" w:type="dxa"/>
          </w:tcPr>
          <w:p w14:paraId="0DB728A4" w14:textId="463D8A34" w:rsidR="00910C85" w:rsidRDefault="00910C85" w:rsidP="00910C85">
            <w:r>
              <w:t>2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08805CBF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767" w:type="dxa"/>
          </w:tcPr>
          <w:p w14:paraId="06392A30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  <w:r w:rsidRPr="001352C1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5A142424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wszystkie wymagane regulaminem wyboru projektów załączniki zostały złożone (jeśli dotyczy)</w:t>
            </w:r>
            <w:r>
              <w:rPr>
                <w:sz w:val="20"/>
                <w:szCs w:val="20"/>
              </w:rPr>
              <w:t>,</w:t>
            </w:r>
          </w:p>
          <w:p w14:paraId="51BB5577" w14:textId="77777777" w:rsidR="00910C85" w:rsidRPr="001352C1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5554BF70" w14:textId="1ACA8EA6" w:rsidR="00910C85" w:rsidRDefault="00910C85" w:rsidP="00910C85">
            <w:r w:rsidRPr="001352C1">
              <w:rPr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6EB4243C" w14:textId="44570787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FB5D3C">
        <w:tc>
          <w:tcPr>
            <w:tcW w:w="783" w:type="dxa"/>
          </w:tcPr>
          <w:p w14:paraId="4E638101" w14:textId="41EBBC04" w:rsidR="00910C85" w:rsidRDefault="00910C85" w:rsidP="00910C85">
            <w:r>
              <w:t>3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767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>, SzOP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 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 xml:space="preserve">art. 12 ust. 1 pkt 1 ustawy z dnia 15 czerwca 2012 roku o skutkach powierzania </w:t>
            </w:r>
            <w:r w:rsidRPr="002A4827">
              <w:rPr>
                <w:sz w:val="20"/>
                <w:szCs w:val="20"/>
              </w:rPr>
              <w:lastRenderedPageBreak/>
              <w:t>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1E6FE276" w14:textId="5BDEFF15" w:rsidR="00910C85" w:rsidRDefault="00910C85" w:rsidP="00910C85">
            <w:r w:rsidRPr="002A4827">
              <w:rPr>
                <w:sz w:val="20"/>
                <w:szCs w:val="20"/>
              </w:rPr>
              <w:t>Punktów 2-3 nie stosuje się do podmiotów wymienionych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389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FB5D3C" w14:paraId="338D3262" w14:textId="77777777" w:rsidTr="00FB5D3C">
        <w:tc>
          <w:tcPr>
            <w:tcW w:w="783" w:type="dxa"/>
          </w:tcPr>
          <w:p w14:paraId="365B4D47" w14:textId="0B98B81A" w:rsidR="00FB5D3C" w:rsidRDefault="00FB5D3C" w:rsidP="00FB5D3C">
            <w:r>
              <w:t>4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6A7FED7C" w:rsidR="00FB5D3C" w:rsidRPr="009B434F" w:rsidRDefault="00FB5D3C" w:rsidP="00FB5D3C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4767" w:type="dxa"/>
          </w:tcPr>
          <w:p w14:paraId="74BEB94F" w14:textId="4AF60986" w:rsidR="00FB5D3C" w:rsidRDefault="00FB5D3C" w:rsidP="00FB5D3C">
            <w:r w:rsidRPr="001352C1">
              <w:rPr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w zależności od tego, która jest </w:t>
            </w:r>
            <w:r w:rsidRPr="001352C1">
              <w:rPr>
                <w:sz w:val="20"/>
                <w:szCs w:val="20"/>
              </w:rPr>
              <w:lastRenderedPageBreak/>
              <w:t>właściwa (zgodnie z przepisami o pomocy publicznej). W 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389" w:type="dxa"/>
            <w:shd w:val="clear" w:color="auto" w:fill="E7E6E6" w:themeFill="background2"/>
          </w:tcPr>
          <w:p w14:paraId="53D8077B" w14:textId="1251ACBF" w:rsidR="00FB5D3C" w:rsidRDefault="00FB5D3C" w:rsidP="00FB5D3C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21A3D639" w14:textId="2199E5CA" w:rsidR="00FB5D3C" w:rsidRDefault="00B73DCB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FB5D3C" w:rsidRDefault="00B73DCB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4FA5DFC8" w:rsidR="00FB5D3C" w:rsidRDefault="00B73DCB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0663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FB5D3C" w:rsidRDefault="00FB5D3C" w:rsidP="00FB5D3C"/>
        </w:tc>
      </w:tr>
      <w:tr w:rsidR="00A67A42" w14:paraId="38AE0B33" w14:textId="77777777" w:rsidTr="00FB5D3C">
        <w:tc>
          <w:tcPr>
            <w:tcW w:w="783" w:type="dxa"/>
          </w:tcPr>
          <w:p w14:paraId="4AD298B1" w14:textId="7CDB7E54" w:rsidR="00910C85" w:rsidRDefault="00910C85" w:rsidP="00910C85">
            <w:r>
              <w:t>5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4767" w:type="dxa"/>
          </w:tcPr>
          <w:p w14:paraId="71DB32A1" w14:textId="2A0E5C39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</w:tc>
        <w:tc>
          <w:tcPr>
            <w:tcW w:w="1389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7CDEEE4B" w14:textId="171F02C6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FB5D3C">
        <w:tc>
          <w:tcPr>
            <w:tcW w:w="783" w:type="dxa"/>
          </w:tcPr>
          <w:p w14:paraId="07F06744" w14:textId="0B8A6843" w:rsidR="00910C85" w:rsidRDefault="00910C85" w:rsidP="00910C85">
            <w:r>
              <w:t>6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767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62B27F41" w14:textId="77777777" w:rsidR="005C066E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6A335BEE" w14:textId="417C9024" w:rsidR="00910C85" w:rsidRPr="005C066E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5C066E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5834C96" w14:textId="4E33DF08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FB5D3C">
        <w:tc>
          <w:tcPr>
            <w:tcW w:w="783" w:type="dxa"/>
          </w:tcPr>
          <w:p w14:paraId="3AC98F43" w14:textId="57CE7CAC" w:rsidR="00910C85" w:rsidRDefault="00910C85" w:rsidP="00910C85">
            <w:r>
              <w:t>7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02B30F95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Projekt nie jest zakończony lub w pełni </w:t>
            </w:r>
            <w:r w:rsidRPr="00624A65">
              <w:rPr>
                <w:b/>
                <w:bCs/>
              </w:rPr>
              <w:lastRenderedPageBreak/>
              <w:t>zrealizowany w rozumieniu 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767" w:type="dxa"/>
          </w:tcPr>
          <w:p w14:paraId="7C8D19DC" w14:textId="27926679" w:rsidR="00910C85" w:rsidRDefault="00A67A42" w:rsidP="00910C85">
            <w:r w:rsidRPr="001352C1">
              <w:rPr>
                <w:sz w:val="20"/>
                <w:szCs w:val="20"/>
              </w:rPr>
              <w:lastRenderedPageBreak/>
              <w:t xml:space="preserve">Zgodnie z art. 63 ust. 6 Rozporządzenia ogólnego, operacje nie mogą zostać wybrane do wsparcia, jeśli </w:t>
            </w:r>
            <w:r w:rsidRPr="001352C1">
              <w:rPr>
                <w:sz w:val="20"/>
                <w:szCs w:val="20"/>
              </w:rPr>
              <w:lastRenderedPageBreak/>
              <w:t>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389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68965008" w14:textId="6EE5C2A7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FB5D3C">
        <w:tc>
          <w:tcPr>
            <w:tcW w:w="783" w:type="dxa"/>
          </w:tcPr>
          <w:p w14:paraId="3C6B1178" w14:textId="77A9083C" w:rsidR="00910C85" w:rsidRDefault="00910C85" w:rsidP="00910C85">
            <w:r>
              <w:t>8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767" w:type="dxa"/>
          </w:tcPr>
          <w:p w14:paraId="3238FD42" w14:textId="4843E8E3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 dofinansowanie spełniają określone w FEŚ 2021 – 2027, SzOP oraz regulaminie wyboru projektów wymagania co do wartości minimalnej i/lub maksymalnej (jeśli takie zostały wskazane). W przypadku projektów przewidujących wystąpienie pomocy publicznej/pomocy de minimis,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SzOP, to w przypadku jego zmiany w późniejszym terminie (np. w wyniku uzyskania indywidualnego odstępstwa od linii demarkacyjnej), </w:t>
            </w:r>
            <w:r w:rsidRPr="001352C1">
              <w:rPr>
                <w:sz w:val="20"/>
                <w:szCs w:val="20"/>
              </w:rPr>
              <w:lastRenderedPageBreak/>
              <w:t>dopuszczalne jest zastosowanie zapisów korzystniejszych dla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151607D8" w14:textId="0CF7C2F8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FB5D3C">
        <w:tc>
          <w:tcPr>
            <w:tcW w:w="783" w:type="dxa"/>
          </w:tcPr>
          <w:p w14:paraId="397FFABE" w14:textId="2BA59595" w:rsidR="00910C85" w:rsidRDefault="00910C85" w:rsidP="00910C85">
            <w:r>
              <w:t>9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typami projektów określonymi w FEŚ 2021 – 2027, SzOP oraz regulaminie wyboru projektów</w:t>
            </w:r>
          </w:p>
        </w:tc>
        <w:tc>
          <w:tcPr>
            <w:tcW w:w="4767" w:type="dxa"/>
          </w:tcPr>
          <w:p w14:paraId="3EAFAEE5" w14:textId="20EFD172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 typami projektów określonymi w FEŚ 2021 – 2027, SzOP dla Działania którego dotyczy nabór oraz w regulaminie wyboru projektów.</w:t>
            </w:r>
          </w:p>
        </w:tc>
        <w:tc>
          <w:tcPr>
            <w:tcW w:w="1389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FB5D3C">
        <w:tc>
          <w:tcPr>
            <w:tcW w:w="783" w:type="dxa"/>
          </w:tcPr>
          <w:p w14:paraId="7F384187" w14:textId="2BC3DB48" w:rsidR="00910C85" w:rsidRDefault="00910C85" w:rsidP="00910C85">
            <w:r>
              <w:t>10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5921D58E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 mężczyzn</w:t>
            </w:r>
          </w:p>
        </w:tc>
        <w:tc>
          <w:tcPr>
            <w:tcW w:w="4767" w:type="dxa"/>
          </w:tcPr>
          <w:p w14:paraId="4FA5541D" w14:textId="2B31125D" w:rsidR="00910C85" w:rsidRDefault="00A67A42" w:rsidP="00910C85"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projekt będzie zgodny z zasadą równości kobiet i mężczyzn. Zgodność projektu zostanie uznana, jeśli projekt ma pozytywny bądź neutralny wpływ na zasadę równości kobiet i mężczyzn (Zgodnie z „Wytycznymi dotyczącymi realizacji zasad 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</w:p>
        </w:tc>
        <w:tc>
          <w:tcPr>
            <w:tcW w:w="1389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0DE7AF4" w14:textId="79784F5A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FB5D3C">
        <w:tc>
          <w:tcPr>
            <w:tcW w:w="783" w:type="dxa"/>
          </w:tcPr>
          <w:p w14:paraId="62A0C19B" w14:textId="40354F2F" w:rsidR="00910C85" w:rsidRDefault="00910C85" w:rsidP="00910C85">
            <w:r>
              <w:t>11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235E283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 niedyskryminacji, w tym dostępności dla osób z niepełnosprawnościami</w:t>
            </w:r>
          </w:p>
        </w:tc>
        <w:tc>
          <w:tcPr>
            <w:tcW w:w="4767" w:type="dxa"/>
          </w:tcPr>
          <w:p w14:paraId="76E6BFAE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Wnioskodawca zobowiązany jest do przedstawienia 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</w:t>
            </w:r>
            <w:r w:rsidRPr="001352C1">
              <w:rPr>
                <w:sz w:val="20"/>
                <w:szCs w:val="20"/>
              </w:rPr>
              <w:lastRenderedPageBreak/>
              <w:t>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  <w:r w:rsidRPr="001352C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0D547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 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6FEB8FB3" w14:textId="7BC2B8AA" w:rsidR="00910C85" w:rsidRDefault="00A67A42" w:rsidP="00A67A42"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579FC2A2" w14:textId="7036E4D9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FB5D3C">
        <w:tc>
          <w:tcPr>
            <w:tcW w:w="783" w:type="dxa"/>
          </w:tcPr>
          <w:p w14:paraId="02AC7788" w14:textId="42B61579" w:rsidR="00910C85" w:rsidRDefault="00910C85" w:rsidP="00910C85">
            <w:r>
              <w:t>12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128C5797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Wsparcie polityki spójności będzie udzielane wyłącznie projektom i beneficjentom, którzy przestrzegają przepisów antydyskryminacyjnych, o których mowa w art. 9 ust. 3 Rozporządzenia </w:t>
            </w:r>
            <w:r w:rsidRPr="00624A65">
              <w:rPr>
                <w:b/>
                <w:bCs/>
              </w:rPr>
              <w:lastRenderedPageBreak/>
              <w:t>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>. W przypadku, gdy beneficjentem jest jednostka samorządu terytorialnego (lub podmiot przez nią kontrolowany lub od niej zależny), która podjęła jakiekolwiek działania dyskryminujące, sprzeczne z zasadami, o których mowa w art. 9 ust. 3 Rozporządzenia ogólnego, wsparcie w ramach polityki spójności nie może być udzielone</w:t>
            </w:r>
          </w:p>
        </w:tc>
        <w:tc>
          <w:tcPr>
            <w:tcW w:w="4767" w:type="dxa"/>
          </w:tcPr>
          <w:p w14:paraId="55E007E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1C4160E9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="00282236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77777777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37FC9EF9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FB5D3C">
        <w:tc>
          <w:tcPr>
            <w:tcW w:w="783" w:type="dxa"/>
          </w:tcPr>
          <w:p w14:paraId="0C47DB44" w14:textId="084B6E1B" w:rsidR="00910C85" w:rsidRDefault="00910C85" w:rsidP="00910C85">
            <w:r>
              <w:t>13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00DC8BDF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Kartą praw podstawowych Unii Europejskiej</w:t>
            </w:r>
          </w:p>
        </w:tc>
        <w:tc>
          <w:tcPr>
            <w:tcW w:w="4767" w:type="dxa"/>
          </w:tcPr>
          <w:p w14:paraId="3FFCAD00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77777777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lastRenderedPageBreak/>
              <w:t>informacji zawartych we wniosku o dofinansowanie,</w:t>
            </w:r>
          </w:p>
          <w:p w14:paraId="6D0BEC41" w14:textId="35A51459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E4C6454" w14:textId="0D3DC4DB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FB5D3C">
        <w:tc>
          <w:tcPr>
            <w:tcW w:w="783" w:type="dxa"/>
          </w:tcPr>
          <w:p w14:paraId="7DC4EB57" w14:textId="2F9DBE39" w:rsidR="00910C85" w:rsidRDefault="00910C85" w:rsidP="00910C85">
            <w:r>
              <w:t>14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6DF75A01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Konwencją o prawach osób niepełnosprawnych</w:t>
            </w:r>
          </w:p>
        </w:tc>
        <w:tc>
          <w:tcPr>
            <w:tcW w:w="4767" w:type="dxa"/>
          </w:tcPr>
          <w:p w14:paraId="2B9FE2E1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 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77777777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informacji zawartych we wniosku o dofinansowanie,</w:t>
            </w:r>
          </w:p>
          <w:p w14:paraId="48856E30" w14:textId="516F9384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70BB69CC" w14:textId="68804879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FB5D3C">
        <w:tc>
          <w:tcPr>
            <w:tcW w:w="783" w:type="dxa"/>
          </w:tcPr>
          <w:p w14:paraId="26D2D7A4" w14:textId="35A653A6" w:rsidR="00910C85" w:rsidRDefault="00910C85" w:rsidP="00910C85">
            <w:r>
              <w:t>15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767" w:type="dxa"/>
          </w:tcPr>
          <w:p w14:paraId="36D8ACCC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Zgodnie z zasadą zrównoważonego rozwoju wsparcie może być udzielone jedynie takim projektom, które nie prowadzą do degradacji lub znacznego pogorszenia </w:t>
            </w:r>
            <w:r w:rsidRPr="001352C1">
              <w:rPr>
                <w:sz w:val="20"/>
                <w:szCs w:val="20"/>
              </w:rPr>
              <w:lastRenderedPageBreak/>
              <w:t>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5B06901B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Weryfikacji podlega, czy uwzględniono co najmniej jedno 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72DAFDB2" w:rsidR="00910C85" w:rsidRDefault="00A67A42" w:rsidP="00A67A42">
            <w:r w:rsidRPr="00237A18">
              <w:rPr>
                <w:sz w:val="20"/>
                <w:szCs w:val="20"/>
              </w:rPr>
              <w:br w:type="page"/>
              <w:t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typów projektów”.</w:t>
            </w:r>
          </w:p>
        </w:tc>
        <w:tc>
          <w:tcPr>
            <w:tcW w:w="1389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B73DC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60BDC6A6" w14:textId="77777777" w:rsidR="00327FF3" w:rsidRDefault="00327FF3">
            <w:pPr>
              <w:rPr>
                <w:b/>
                <w:bCs/>
              </w:rPr>
            </w:pPr>
          </w:p>
          <w:p w14:paraId="41EAA1A6" w14:textId="77777777" w:rsidR="00BE2963" w:rsidRDefault="00BE2963">
            <w:pPr>
              <w:rPr>
                <w:b/>
                <w:bCs/>
              </w:rPr>
            </w:pPr>
          </w:p>
          <w:p w14:paraId="2F45AA42" w14:textId="77777777" w:rsidR="00BE2963" w:rsidRDefault="00BE2963">
            <w:pPr>
              <w:rPr>
                <w:b/>
                <w:bCs/>
              </w:rPr>
            </w:pPr>
          </w:p>
          <w:p w14:paraId="55F151D4" w14:textId="67A550FD" w:rsidR="009D3347" w:rsidRPr="00BE2963" w:rsidRDefault="009D3347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p w14:paraId="71017E6F" w14:textId="77777777" w:rsidR="009D3347" w:rsidRDefault="009D334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lastRenderedPageBreak/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B73DC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B73DC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B73DC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B73DC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p w14:paraId="552C7470" w14:textId="77777777" w:rsidR="00BE2963" w:rsidRDefault="00BE2963"/>
    <w:sectPr w:rsidR="00BE2963" w:rsidSect="008523C1">
      <w:headerReference w:type="default" r:id="rId8"/>
      <w:headerReference w:type="first" r:id="rId9"/>
      <w:pgSz w:w="16838" w:h="11906" w:orient="landscape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0C85">
        <w:rPr>
          <w:rStyle w:val="Odwoanieprzypisudolnego"/>
          <w:sz w:val="18"/>
          <w:szCs w:val="18"/>
          <w:vertAlign w:val="baseline"/>
        </w:rPr>
        <w:t>SzOP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7D9E3" w14:textId="049F1FBF" w:rsidR="006663A6" w:rsidRDefault="006663A6" w:rsidP="006663A6">
    <w:pPr>
      <w:pStyle w:val="Nagwek"/>
      <w:jc w:val="center"/>
    </w:pPr>
  </w:p>
  <w:p w14:paraId="1E73820C" w14:textId="77777777" w:rsidR="006663A6" w:rsidRDefault="006663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8560F" w14:textId="518B5D5C" w:rsidR="008523C1" w:rsidRDefault="008523C1" w:rsidP="008523C1">
    <w:pPr>
      <w:pStyle w:val="Nagwek"/>
      <w:jc w:val="center"/>
    </w:pPr>
    <w:r>
      <w:rPr>
        <w:noProof/>
      </w:rPr>
      <w:drawing>
        <wp:inline distT="0" distB="0" distL="0" distR="0" wp14:anchorId="59BE7378" wp14:editId="0E5E450B">
          <wp:extent cx="7315835" cy="567055"/>
          <wp:effectExtent l="0" t="0" r="0" b="4445"/>
          <wp:docPr id="14692256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100513">
    <w:abstractNumId w:val="2"/>
  </w:num>
  <w:num w:numId="2" w16cid:durableId="1396926359">
    <w:abstractNumId w:val="4"/>
  </w:num>
  <w:num w:numId="3" w16cid:durableId="370150065">
    <w:abstractNumId w:val="3"/>
  </w:num>
  <w:num w:numId="4" w16cid:durableId="2127117963">
    <w:abstractNumId w:val="1"/>
  </w:num>
  <w:num w:numId="5" w16cid:durableId="18968823">
    <w:abstractNumId w:val="0"/>
  </w:num>
  <w:num w:numId="6" w16cid:durableId="178734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0700C2"/>
    <w:rsid w:val="0019186F"/>
    <w:rsid w:val="00230D4E"/>
    <w:rsid w:val="002339F0"/>
    <w:rsid w:val="00233BD4"/>
    <w:rsid w:val="00276EC5"/>
    <w:rsid w:val="00282236"/>
    <w:rsid w:val="00327FF3"/>
    <w:rsid w:val="003D6680"/>
    <w:rsid w:val="00446BE7"/>
    <w:rsid w:val="00450B14"/>
    <w:rsid w:val="00552130"/>
    <w:rsid w:val="00566A92"/>
    <w:rsid w:val="005C066E"/>
    <w:rsid w:val="005D56FA"/>
    <w:rsid w:val="006663A6"/>
    <w:rsid w:val="00671654"/>
    <w:rsid w:val="006D3A4C"/>
    <w:rsid w:val="006F026F"/>
    <w:rsid w:val="0074772C"/>
    <w:rsid w:val="007E7C30"/>
    <w:rsid w:val="008234E2"/>
    <w:rsid w:val="00850F56"/>
    <w:rsid w:val="008523C1"/>
    <w:rsid w:val="0087296B"/>
    <w:rsid w:val="00897F70"/>
    <w:rsid w:val="00910C85"/>
    <w:rsid w:val="0095073B"/>
    <w:rsid w:val="009B434F"/>
    <w:rsid w:val="009D3347"/>
    <w:rsid w:val="00A316AD"/>
    <w:rsid w:val="00A67A42"/>
    <w:rsid w:val="00A9123D"/>
    <w:rsid w:val="00AA3A16"/>
    <w:rsid w:val="00AD471D"/>
    <w:rsid w:val="00B25819"/>
    <w:rsid w:val="00B35568"/>
    <w:rsid w:val="00B73DCB"/>
    <w:rsid w:val="00BE2963"/>
    <w:rsid w:val="00C07169"/>
    <w:rsid w:val="00C674F5"/>
    <w:rsid w:val="00C83795"/>
    <w:rsid w:val="00D05B30"/>
    <w:rsid w:val="00D45E50"/>
    <w:rsid w:val="00DC59CE"/>
    <w:rsid w:val="00E66711"/>
    <w:rsid w:val="00E9176D"/>
    <w:rsid w:val="00E91B5A"/>
    <w:rsid w:val="00EB3AC4"/>
    <w:rsid w:val="00EC58F4"/>
    <w:rsid w:val="00EF64FA"/>
    <w:rsid w:val="00F1756B"/>
    <w:rsid w:val="00F302A0"/>
    <w:rsid w:val="00F97E04"/>
    <w:rsid w:val="00FB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3A6"/>
  </w:style>
  <w:style w:type="paragraph" w:styleId="Stopka">
    <w:name w:val="footer"/>
    <w:basedOn w:val="Normalny"/>
    <w:link w:val="StopkaZnak"/>
    <w:uiPriority w:val="99"/>
    <w:unhideWhenUsed/>
    <w:rsid w:val="0066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2599</Words>
  <Characters>15597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Kucharska, Anna</cp:lastModifiedBy>
  <cp:revision>29</cp:revision>
  <dcterms:created xsi:type="dcterms:W3CDTF">2024-06-11T09:14:00Z</dcterms:created>
  <dcterms:modified xsi:type="dcterms:W3CDTF">2025-03-04T14:06:00Z</dcterms:modified>
</cp:coreProperties>
</file>