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A54A" w14:textId="77777777" w:rsidR="00CC6375" w:rsidRDefault="00CC6375" w:rsidP="00DC59CE">
      <w:pPr>
        <w:jc w:val="right"/>
        <w:rPr>
          <w:b/>
          <w:bCs/>
        </w:rPr>
      </w:pPr>
    </w:p>
    <w:p w14:paraId="1F3B7EF5" w14:textId="40D4A250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0042E89F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>DLA DZIAŁANIA 2</w:t>
      </w:r>
      <w:r>
        <w:rPr>
          <w:b/>
          <w:bCs/>
        </w:rPr>
        <w:t>.</w:t>
      </w:r>
      <w:r w:rsidR="00496497">
        <w:rPr>
          <w:b/>
          <w:bCs/>
        </w:rPr>
        <w:t>7</w:t>
      </w:r>
      <w:r>
        <w:rPr>
          <w:b/>
          <w:bCs/>
        </w:rPr>
        <w:t xml:space="preserve"> </w:t>
      </w:r>
      <w:r w:rsidR="00496497">
        <w:rPr>
          <w:b/>
          <w:bCs/>
        </w:rPr>
        <w:t>Gospodarowanie odpadami - dotacje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E191BDE" w14:textId="728BB79D" w:rsid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211C98">
              <w:rPr>
                <w:b/>
                <w:bCs/>
              </w:rPr>
              <w:t>.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  <w:p w14:paraId="1FE805B1" w14:textId="5CEEBB22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220830F3" w14:textId="7320D113" w:rsidR="00DC59CE" w:rsidRDefault="00C07169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496497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="00496497">
              <w:rPr>
                <w:b/>
                <w:bCs/>
              </w:rPr>
              <w:t>Gospodarowanie odpadami - dotacje</w:t>
            </w:r>
          </w:p>
          <w:p w14:paraId="574B95AE" w14:textId="59384D20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C979372" w14:textId="56ECB6DD" w:rsidR="00496497" w:rsidRDefault="00496497" w:rsidP="00E31715">
            <w:pPr>
              <w:pStyle w:val="Akapitzlist"/>
              <w:numPr>
                <w:ilvl w:val="0"/>
                <w:numId w:val="8"/>
              </w:numPr>
              <w:ind w:left="314"/>
              <w:rPr>
                <w:b/>
                <w:bCs/>
              </w:rPr>
            </w:pPr>
            <w:r w:rsidRPr="00496497">
              <w:rPr>
                <w:b/>
                <w:bCs/>
              </w:rPr>
              <w:t>Rozwój systemów selektywnego zbierania odpadów komunalnych (w tym budowa, rozbudowa, modernizacja PSZOK) z uwzględnieniem rozwiązań zapobiegających powstaniu odpadów i/lub ponownego użycia.</w:t>
            </w:r>
          </w:p>
          <w:p w14:paraId="787C5362" w14:textId="77777777" w:rsidR="00496497" w:rsidRDefault="00496497" w:rsidP="00356FB8">
            <w:pPr>
              <w:pStyle w:val="Akapitzlist"/>
              <w:numPr>
                <w:ilvl w:val="0"/>
                <w:numId w:val="8"/>
              </w:numPr>
              <w:ind w:left="314"/>
              <w:rPr>
                <w:b/>
                <w:bCs/>
              </w:rPr>
            </w:pPr>
            <w:r w:rsidRPr="00496497">
              <w:rPr>
                <w:b/>
                <w:bCs/>
              </w:rPr>
              <w:t>Edukacja w zakresie gospodarki obiegu zamkniętego (jako element projektu).</w:t>
            </w:r>
          </w:p>
          <w:p w14:paraId="77AE1EDC" w14:textId="37291BD7" w:rsidR="00356FB8" w:rsidRPr="00356FB8" w:rsidRDefault="00356FB8" w:rsidP="00356FB8">
            <w:pPr>
              <w:pStyle w:val="Akapitzlist"/>
              <w:ind w:left="314"/>
              <w:rPr>
                <w:b/>
                <w:bCs/>
                <w:sz w:val="12"/>
                <w:szCs w:val="12"/>
              </w:rPr>
            </w:pP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773DA995" w:rsidR="00DC59CE" w:rsidRDefault="00EB3AC4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</w:t>
            </w:r>
            <w:r w:rsidR="00DC59CE" w:rsidRPr="00DC59CE">
              <w:rPr>
                <w:b/>
                <w:bCs/>
              </w:rPr>
              <w:t>onkurencyjny</w:t>
            </w: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4C6A11E8" w14:textId="77777777" w:rsidR="00EB3AC4" w:rsidRDefault="00EB3AC4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611C93AF" w14:textId="77777777" w:rsidR="00A40B40" w:rsidRDefault="00A40B40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lastRenderedPageBreak/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0"/>
        <w:gridCol w:w="2521"/>
        <w:gridCol w:w="4763"/>
        <w:gridCol w:w="1389"/>
        <w:gridCol w:w="875"/>
        <w:gridCol w:w="877"/>
        <w:gridCol w:w="1015"/>
        <w:gridCol w:w="1784"/>
      </w:tblGrid>
      <w:tr w:rsidR="00A67A42" w:rsidRPr="00DC59CE" w14:paraId="0FE232DF" w14:textId="77777777" w:rsidTr="00E04130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881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75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E04130">
        <w:tc>
          <w:tcPr>
            <w:tcW w:w="783" w:type="dxa"/>
          </w:tcPr>
          <w:p w14:paraId="73C63CA5" w14:textId="79FDB9F2" w:rsidR="00DC59CE" w:rsidRDefault="009B434F" w:rsidP="00DC59CE">
            <w:r>
              <w:t>1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755C039C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Wniosek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został złożony w terminie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i formie określonej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>w regulaminie wyboru projektów</w:t>
            </w:r>
          </w:p>
        </w:tc>
        <w:tc>
          <w:tcPr>
            <w:tcW w:w="4881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75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E04130">
        <w:tc>
          <w:tcPr>
            <w:tcW w:w="783" w:type="dxa"/>
          </w:tcPr>
          <w:p w14:paraId="0DB728A4" w14:textId="3952B94D" w:rsidR="00910C85" w:rsidRDefault="00910C85" w:rsidP="00910C85">
            <w:r>
              <w:t>2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66037BEB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881" w:type="dxa"/>
          </w:tcPr>
          <w:p w14:paraId="4AB8BB81" w14:textId="77777777" w:rsidR="003F7A77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</w:p>
          <w:p w14:paraId="311FAAA3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2424A05C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wszystkie wymagane regulaminem wyboru projektów załączniki zostały złożone (jeśli dotyczy),</w:t>
            </w:r>
          </w:p>
          <w:p w14:paraId="51BB5577" w14:textId="178D55E3" w:rsidR="00910C85" w:rsidRP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4DE10302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</w:t>
            </w:r>
            <w:r w:rsidR="00CC310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uwzględnieniem zapisów właściwych Instrukcji wypełniania wniosku oraz załączników (jeśli dotyczy).</w:t>
            </w:r>
          </w:p>
          <w:p w14:paraId="5554BF70" w14:textId="3AFD9E4A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6EB4243C" w14:textId="44570787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E04130">
        <w:tc>
          <w:tcPr>
            <w:tcW w:w="783" w:type="dxa"/>
          </w:tcPr>
          <w:p w14:paraId="4E638101" w14:textId="359B8BB3" w:rsidR="00910C85" w:rsidRDefault="00910C85" w:rsidP="00910C85">
            <w:r>
              <w:t>3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881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>, SzOP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0B3C460E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268DCF4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 ustawy z dnia 13 kwietnia 2022 roku o szczególnych rozwiązaniach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zakresie przeciwdziałania wspieraniu agresji na Ukrainę oraz służących ochronie bezpieczeństwa narodowego.</w:t>
            </w:r>
          </w:p>
          <w:p w14:paraId="64D730B1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Punktów 2-3 nie stosuje się do podmiotów </w:t>
            </w:r>
            <w:r w:rsidR="00E04130">
              <w:rPr>
                <w:sz w:val="20"/>
                <w:szCs w:val="20"/>
              </w:rPr>
              <w:t>w</w:t>
            </w:r>
            <w:r w:rsidRPr="002A4827">
              <w:rPr>
                <w:sz w:val="20"/>
                <w:szCs w:val="20"/>
              </w:rPr>
              <w:t>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1E6FE276" w14:textId="2461978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BC6299" w14:paraId="338D3262" w14:textId="77777777" w:rsidTr="00E04130">
        <w:tc>
          <w:tcPr>
            <w:tcW w:w="783" w:type="dxa"/>
          </w:tcPr>
          <w:p w14:paraId="365B4D47" w14:textId="2B4B2BDE" w:rsidR="00BC6299" w:rsidRDefault="00BC6299" w:rsidP="00BC6299">
            <w:r>
              <w:t>4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2EB5D724" w:rsidR="00BC6299" w:rsidRPr="009B434F" w:rsidRDefault="00BC6299" w:rsidP="00BC6299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Wnioskodawca/partner nie jest przedsiębiorstwem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w trudnej sytuacji w rozumieniu unijnych </w:t>
            </w:r>
            <w:r w:rsidRPr="00624A65">
              <w:rPr>
                <w:b/>
                <w:bCs/>
              </w:rPr>
              <w:lastRenderedPageBreak/>
              <w:t>przepisów dotyczących pomocy państwa</w:t>
            </w:r>
          </w:p>
        </w:tc>
        <w:tc>
          <w:tcPr>
            <w:tcW w:w="4881" w:type="dxa"/>
          </w:tcPr>
          <w:p w14:paraId="2CB6FEBC" w14:textId="34B2F790" w:rsidR="00BC6299" w:rsidRDefault="00BC6299" w:rsidP="00BC6299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 xml:space="preserve">W ramach kryterium weryfikacji podlegać będzie, czy wnioskodawca/partner (jeśli dotyczy) nie jest przedsiębiorstwem w trudnej sytuacji w rozumieniu Rozporządzenia Komisji (UE) 651/2014 albo w rozumieniu komunikatu Komisji - Wytyczne dotyczące </w:t>
            </w:r>
            <w:r w:rsidRPr="001352C1">
              <w:rPr>
                <w:sz w:val="20"/>
                <w:szCs w:val="20"/>
              </w:rPr>
              <w:lastRenderedPageBreak/>
              <w:t>pomocy państwa na ratowanie i restrukturyzację przedsiębiorstw niefinansowych znajdujących się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trudnej sytuacji w zależności od tego, która jest właściwa (zgodnie z przepisami o pomocy publicznej). W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przepisów o pomocy publicznej. Sprawdzane będzie także, czy wnioskodawca/partner (jeśli dotyczy) przedłożył oświadczenie o tym, że nie jest przedsiębiorstwem w trudnej sytuacji.</w:t>
            </w:r>
          </w:p>
          <w:p w14:paraId="74BEB94F" w14:textId="48E5CB4A" w:rsidR="003F7A77" w:rsidRDefault="003F7A77" w:rsidP="00BC6299"/>
        </w:tc>
        <w:tc>
          <w:tcPr>
            <w:tcW w:w="1275" w:type="dxa"/>
            <w:shd w:val="clear" w:color="auto" w:fill="E7E6E6" w:themeFill="background2"/>
          </w:tcPr>
          <w:p w14:paraId="53D8077B" w14:textId="1251ACBF" w:rsidR="00BC6299" w:rsidRDefault="00BC6299" w:rsidP="00BC6299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21A3D639" w14:textId="2199E5CA" w:rsidR="00BC6299" w:rsidRDefault="00211C9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BC6299" w:rsidRDefault="00211C9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2E23E0F6" w:rsidR="00BC6299" w:rsidRDefault="00211C98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5946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BC6299" w:rsidRDefault="00BC6299" w:rsidP="00BC6299"/>
        </w:tc>
      </w:tr>
      <w:tr w:rsidR="00A67A42" w14:paraId="38AE0B33" w14:textId="77777777" w:rsidTr="00E04130">
        <w:tc>
          <w:tcPr>
            <w:tcW w:w="783" w:type="dxa"/>
          </w:tcPr>
          <w:p w14:paraId="4AD298B1" w14:textId="7DDEB551" w:rsidR="00910C85" w:rsidRDefault="00910C85" w:rsidP="00910C85">
            <w:r>
              <w:t>5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881" w:type="dxa"/>
          </w:tcPr>
          <w:p w14:paraId="4333D8E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  <w:p w14:paraId="71DB32A1" w14:textId="2A0E5C3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E04130">
        <w:tc>
          <w:tcPr>
            <w:tcW w:w="783" w:type="dxa"/>
          </w:tcPr>
          <w:p w14:paraId="07F06744" w14:textId="63DEE42D" w:rsidR="00910C85" w:rsidRDefault="00910C85" w:rsidP="00910C85">
            <w:r>
              <w:t>6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881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551EA85A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–jeśli dotyczy;</w:t>
            </w:r>
          </w:p>
          <w:p w14:paraId="5BCCC351" w14:textId="2EE254D4" w:rsidR="00F141C5" w:rsidRPr="00F141C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wnioskodawca zapewnia, iż w okresie realizacji i</w:t>
            </w:r>
            <w:r w:rsidR="009E51E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trwałości projektu nie przeniesie działalności produkcyjnej poza obszar województwa świętokrzyskiego (weryfikacja na bazie oświadczenia – jeśli dotyczy);</w:t>
            </w:r>
          </w:p>
          <w:p w14:paraId="6A335BEE" w14:textId="181CCB43" w:rsidR="00910C8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 xml:space="preserve">projekt nie obejmuje działań, które stanowiły część operacji podlegającej przeniesieniu produkcji zgodnie z art. 66 Rozporządzenia PE </w:t>
            </w:r>
            <w:r w:rsidRPr="00796912">
              <w:rPr>
                <w:sz w:val="20"/>
                <w:szCs w:val="20"/>
              </w:rPr>
              <w:lastRenderedPageBreak/>
              <w:t>i</w:t>
            </w:r>
            <w:r w:rsidR="003F7A7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Rady (UE) 2021/1060 z dnia 24 czerwca 2022 roku (weryfikacja na bazie oświadczenia – jeśli dotyczy).</w:t>
            </w:r>
          </w:p>
        </w:tc>
        <w:tc>
          <w:tcPr>
            <w:tcW w:w="1275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5834C96" w14:textId="4E33DF08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E04130">
        <w:tc>
          <w:tcPr>
            <w:tcW w:w="783" w:type="dxa"/>
          </w:tcPr>
          <w:p w14:paraId="3AC98F43" w14:textId="78E48702" w:rsidR="00910C85" w:rsidRDefault="00910C85" w:rsidP="00910C85">
            <w:r>
              <w:t>7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110B41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Projekt nie jest zakończony lub w pełni zrealizowany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>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881" w:type="dxa"/>
          </w:tcPr>
          <w:p w14:paraId="26F7E66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</w:t>
            </w:r>
            <w:r w:rsidR="00CA1EB5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dostaw i usług) przez przedłożeniem wniosku o dofinansowanie, niezależnie od tego, czy wszystkie dotyczące tego projektu płatności zostały przez wnioskodawcę dokonane. Przez projekt ukończony</w:t>
            </w:r>
            <w:r w:rsidR="00CA1EB5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/zrealizowany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  <w:p w14:paraId="7C8D19DC" w14:textId="6481EFD6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8965008" w14:textId="6EE5C2A7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E04130">
        <w:tc>
          <w:tcPr>
            <w:tcW w:w="783" w:type="dxa"/>
          </w:tcPr>
          <w:p w14:paraId="3C6B1178" w14:textId="721C50CF" w:rsidR="00910C85" w:rsidRDefault="00910C85" w:rsidP="00910C85">
            <w:r>
              <w:t>8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881" w:type="dxa"/>
          </w:tcPr>
          <w:p w14:paraId="5CE72D6A" w14:textId="6DD0F39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dofinansowanie spełniają określone w FEŚ 2021 – 2027, SzOP oraz regulaminie wyboru projektów wymagania co do wartości minimalnej i/lub maksymalnej (jeśli takie zostały wskazane).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projektów przewidujących wystąpienie pomocy publicznej/pomocy de minimis, weryfikowana będzie poprawność ustalenia wartości tej pomocy,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tym jej intensywności, w kontekście właściwych przepisów dotyczących jej udzielania. W przypadku ponownej oceny lub weryfikacji w zakresie propozycji </w:t>
            </w:r>
            <w:r w:rsidRPr="001352C1">
              <w:rPr>
                <w:sz w:val="20"/>
                <w:szCs w:val="20"/>
              </w:rPr>
              <w:lastRenderedPageBreak/>
              <w:t>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SzOP, to w przypadku jego zmiany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późniejszym terminie (np. w wyniku uzyskania indywidualnego odstępstwa od linii demarkacyjnej), dopuszczalne jest zastosowanie zapisów korzystniejszych dla wnioskodawcy.</w:t>
            </w:r>
          </w:p>
          <w:p w14:paraId="3238FD42" w14:textId="5C372771" w:rsidR="009157E7" w:rsidRDefault="009157E7" w:rsidP="00910C85"/>
        </w:tc>
        <w:tc>
          <w:tcPr>
            <w:tcW w:w="1275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151607D8" w14:textId="0CF7C2F8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E04130">
        <w:tc>
          <w:tcPr>
            <w:tcW w:w="783" w:type="dxa"/>
          </w:tcPr>
          <w:p w14:paraId="397FFABE" w14:textId="4355036B" w:rsidR="00910C85" w:rsidRDefault="00910C85" w:rsidP="00910C85">
            <w:r>
              <w:t>9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typami projektów określonymi w FEŚ 2021 – 2027, SzOP oraz regulaminie wyboru projektów</w:t>
            </w:r>
          </w:p>
        </w:tc>
        <w:tc>
          <w:tcPr>
            <w:tcW w:w="4881" w:type="dxa"/>
          </w:tcPr>
          <w:p w14:paraId="3EAFAEE5" w14:textId="6FAC9925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typami projektów określonymi w FEŚ 2021 – 2027, SzOP dla Działania którego dotyczy nabór oraz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regulaminie wyboru projektów.</w:t>
            </w:r>
          </w:p>
        </w:tc>
        <w:tc>
          <w:tcPr>
            <w:tcW w:w="1275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E04130">
        <w:tc>
          <w:tcPr>
            <w:tcW w:w="783" w:type="dxa"/>
          </w:tcPr>
          <w:p w14:paraId="7F384187" w14:textId="2F710134" w:rsidR="00910C85" w:rsidRDefault="00910C85" w:rsidP="00910C85">
            <w:r>
              <w:t>10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7263B76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mężczyzn</w:t>
            </w:r>
          </w:p>
        </w:tc>
        <w:tc>
          <w:tcPr>
            <w:tcW w:w="4881" w:type="dxa"/>
          </w:tcPr>
          <w:p w14:paraId="613DCDA2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projekt będzie zgodny z zasadą równości kobiet i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mężczyzn. Zgodność projektu zostanie uznana, jeśli projekt ma pozytywny bądź neutralny wpływ na zasadę równości kobiet i mężczyzn (Zgodnie z „Wytycznymi dotyczącymi realizacji zasad równościowych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pierwszej kolejności wnioskodawca powinien rozważyć, czy poprzez projekt można wyrównywać szanse osób, które w danym obszarze znajdują się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  <w:r w:rsidR="003F7A77">
              <w:rPr>
                <w:sz w:val="20"/>
                <w:szCs w:val="20"/>
              </w:rPr>
              <w:t>.</w:t>
            </w:r>
          </w:p>
          <w:p w14:paraId="4FA5541D" w14:textId="07FAABE5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0DE7AF4" w14:textId="79784F5A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E04130">
        <w:tc>
          <w:tcPr>
            <w:tcW w:w="783" w:type="dxa"/>
          </w:tcPr>
          <w:p w14:paraId="62A0C19B" w14:textId="1D47FFDC" w:rsidR="00910C85" w:rsidRDefault="00910C85" w:rsidP="00910C85">
            <w:r>
              <w:lastRenderedPageBreak/>
              <w:t>11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8593AFC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niedyskryminacji, w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tym dostępności dla osób z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niepełnosprawnościami</w:t>
            </w:r>
          </w:p>
        </w:tc>
        <w:tc>
          <w:tcPr>
            <w:tcW w:w="4881" w:type="dxa"/>
          </w:tcPr>
          <w:p w14:paraId="76E6BFAE" w14:textId="3367EA58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2C650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realizacja projektu ma pozytywny wpływ na zasadę równości szans i niedyskryminacji, w tym dostępności dla osób z niepełnosprawnościami poprzez zapewnienie dostępności produktów lub usług (Zgodnie z</w:t>
            </w:r>
            <w:r w:rsidR="00A45432">
              <w:t> </w:t>
            </w:r>
            <w:r w:rsidRPr="001352C1">
              <w:rPr>
                <w:sz w:val="20"/>
                <w:szCs w:val="20"/>
              </w:rPr>
              <w:t>„Wytycznymi dotyczącymi realizacji zasad równościowych w 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  <w:r w:rsidR="00A40B40">
              <w:rPr>
                <w:sz w:val="20"/>
                <w:szCs w:val="20"/>
              </w:rPr>
              <w:t>).</w:t>
            </w:r>
          </w:p>
          <w:p w14:paraId="0D5472BF" w14:textId="513B659C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Przez pozytywny wpływ należy rozumieć zapewnienie dostępności infrastruktury, środków transportu, towarów, usług, technologii i systemów informacyjno -komunikacyjnych oraz wszelkich produktów projektów (w tym także usług) dla wszystkich 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użytkowniczek. Dostępność pozwala osobom, które mogą być wykluczone (ze względu na różne przesłanki, np. wiek, tymczasowa niepełnosprawność, opieka nad dziećmi itd.),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w szczególności osobom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niepełnosprawnościami i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starszym na korzystanie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nich na zasadzie równości z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innymi osobami.</w:t>
            </w:r>
          </w:p>
          <w:p w14:paraId="339F793B" w14:textId="77777777" w:rsidR="00910C85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ile wnioskodawca wykaże, że produkty/usługi nie mają swoich bezpośrednich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  <w:p w14:paraId="6FEB8FB3" w14:textId="78E3C037" w:rsidR="003F7A77" w:rsidRDefault="003F7A77" w:rsidP="00A67A42"/>
        </w:tc>
        <w:tc>
          <w:tcPr>
            <w:tcW w:w="1275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579FC2A2" w14:textId="7036E4D9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E04130">
        <w:tc>
          <w:tcPr>
            <w:tcW w:w="783" w:type="dxa"/>
          </w:tcPr>
          <w:p w14:paraId="02AC7788" w14:textId="6E2F57D6" w:rsidR="00910C85" w:rsidRDefault="00910C85" w:rsidP="00910C85">
            <w:r>
              <w:t>12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77E4E7D0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Wsparcie polityki spójności będzie udzielane wyłącznie </w:t>
            </w:r>
            <w:r w:rsidRPr="00624A65">
              <w:rPr>
                <w:b/>
                <w:bCs/>
              </w:rPr>
              <w:lastRenderedPageBreak/>
              <w:t>projektom i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podmiot przez nią kontrolowany lub od niej zależny), która podjęła jakiekolwiek działania dyskryminujące, sprzeczne z zasadami, o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 xml:space="preserve">których mowa w art. 9 ust. 3 Rozporządzenia ogólnego, wsparcie </w:t>
            </w:r>
            <w:r w:rsidR="00650E38"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>w ramach polityki spójności nie może być udzielone</w:t>
            </w:r>
          </w:p>
        </w:tc>
        <w:tc>
          <w:tcPr>
            <w:tcW w:w="4881" w:type="dxa"/>
          </w:tcPr>
          <w:p w14:paraId="55E007EF" w14:textId="68A541FD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</w:t>
            </w:r>
            <w:r w:rsidRPr="001352C1">
              <w:rPr>
                <w:sz w:val="20"/>
                <w:szCs w:val="20"/>
              </w:rPr>
              <w:lastRenderedPageBreak/>
              <w:t>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32BBEFB8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31E303F0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oświadczenia wnioskodawcy/partnera (jeśli dotyczy), złożonego w formularzu wniosku o</w:t>
            </w:r>
            <w:r w:rsidR="004109C7">
              <w:rPr>
                <w:sz w:val="20"/>
                <w:szCs w:val="20"/>
              </w:rPr>
              <w:t> </w:t>
            </w:r>
            <w:r w:rsidRPr="008B5FD7">
              <w:rPr>
                <w:sz w:val="20"/>
                <w:szCs w:val="20"/>
              </w:rPr>
              <w:t xml:space="preserve">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1677C465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</w:t>
            </w:r>
            <w:r w:rsidR="004109C7">
              <w:rPr>
                <w:sz w:val="20"/>
                <w:szCs w:val="20"/>
              </w:rPr>
              <w:t> </w:t>
            </w:r>
            <w:r w:rsidRPr="00A67A42">
              <w:rPr>
                <w:sz w:val="20"/>
                <w:szCs w:val="20"/>
              </w:rPr>
              <w:t>wyboru projektu, na podstawie których IZ może stwierdzić podejmowanie działań dyskryminacyjnych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E04130">
        <w:tc>
          <w:tcPr>
            <w:tcW w:w="783" w:type="dxa"/>
          </w:tcPr>
          <w:p w14:paraId="0C47DB44" w14:textId="2949A06F" w:rsidR="00910C85" w:rsidRDefault="00910C85" w:rsidP="00910C85">
            <w:r>
              <w:lastRenderedPageBreak/>
              <w:t>13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41D0AFC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Kartą praw podstawowych Unii Europejskiej</w:t>
            </w:r>
          </w:p>
        </w:tc>
        <w:tc>
          <w:tcPr>
            <w:tcW w:w="4881" w:type="dxa"/>
          </w:tcPr>
          <w:p w14:paraId="3FFCAD00" w14:textId="32E11E4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06955D93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FD2090">
              <w:rPr>
                <w:sz w:val="20"/>
                <w:szCs w:val="20"/>
              </w:rPr>
              <w:t>dofinansowanie,</w:t>
            </w:r>
          </w:p>
          <w:p w14:paraId="6D0BEC41" w14:textId="0BB60F91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4E4C6454" w14:textId="0D3DC4DB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E04130">
        <w:tc>
          <w:tcPr>
            <w:tcW w:w="783" w:type="dxa"/>
          </w:tcPr>
          <w:p w14:paraId="7DC4EB57" w14:textId="089C8730" w:rsidR="00910C85" w:rsidRDefault="00910C85" w:rsidP="00910C85">
            <w:r>
              <w:t>14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7359E044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Konwencją o prawach osób niepełnosprawnych</w:t>
            </w:r>
          </w:p>
        </w:tc>
        <w:tc>
          <w:tcPr>
            <w:tcW w:w="4881" w:type="dxa"/>
          </w:tcPr>
          <w:p w14:paraId="2B9FE2E1" w14:textId="6CD156F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1E9A3384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530D05">
              <w:rPr>
                <w:sz w:val="20"/>
                <w:szCs w:val="20"/>
              </w:rPr>
              <w:t>dofinansowanie,</w:t>
            </w:r>
          </w:p>
          <w:p w14:paraId="48856E30" w14:textId="627FDBFB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 xml:space="preserve">innych źródeł informacji, znanych na etapie oceny i wyboru projektu, na podstawie których IZ może stwierdzić podejmowanie działań które nie są zgodne z w/w Konwencją (np. wyników kontroli, prawomocnych wyroków sądu, opinii Rzecznika </w:t>
            </w:r>
            <w:r w:rsidRPr="00530D05">
              <w:rPr>
                <w:sz w:val="20"/>
                <w:szCs w:val="20"/>
              </w:rPr>
              <w:lastRenderedPageBreak/>
              <w:t>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70BB69CC" w14:textId="68804879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E04130">
        <w:tc>
          <w:tcPr>
            <w:tcW w:w="783" w:type="dxa"/>
          </w:tcPr>
          <w:p w14:paraId="26D2D7A4" w14:textId="77FAED23" w:rsidR="00910C85" w:rsidRDefault="00910C85" w:rsidP="00910C85">
            <w:r>
              <w:t>15</w:t>
            </w:r>
            <w:r w:rsidR="00650E38">
              <w:t>.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881" w:type="dxa"/>
          </w:tcPr>
          <w:p w14:paraId="36D8ACCC" w14:textId="6B52C24E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4D1C7E8F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Weryfikacji podlega, czy uwzględniono co najmniej jedno 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5E270FC3" w:rsidR="00910C85" w:rsidRDefault="00A67A42" w:rsidP="00A67A42">
            <w:r w:rsidRPr="00237A18">
              <w:rPr>
                <w:sz w:val="20"/>
                <w:szCs w:val="20"/>
              </w:rPr>
              <w:br w:type="page"/>
              <w:t>Dla spełnienia kryterium konieczne jest wykazanie przez wnioskodawcę, że projekt będzie miał pozytywny lub neutralny wpływ na niniejszą zasadę horyzontalną. W</w:t>
            </w:r>
            <w:r w:rsidR="001A6E20">
              <w:rPr>
                <w:sz w:val="20"/>
                <w:szCs w:val="20"/>
              </w:rPr>
              <w:t> </w:t>
            </w:r>
            <w:r w:rsidRPr="00237A18">
              <w:rPr>
                <w:sz w:val="20"/>
                <w:szCs w:val="20"/>
              </w:rPr>
              <w:t xml:space="preserve">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</w:t>
            </w:r>
            <w:r w:rsidRPr="00237A18">
              <w:rPr>
                <w:sz w:val="20"/>
                <w:szCs w:val="20"/>
              </w:rPr>
              <w:lastRenderedPageBreak/>
              <w:t>typów projektów”.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211C98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2E267B5F" w14:textId="77777777" w:rsidR="00002362" w:rsidRDefault="00002362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211C9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211C9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211C9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211C98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A40B40">
      <w:headerReference w:type="default" r:id="rId8"/>
      <w:footerReference w:type="default" r:id="rId9"/>
      <w:headerReference w:type="first" r:id="rId10"/>
      <w:pgSz w:w="16838" w:h="11906" w:orient="landscape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7080558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B36A3" w14:textId="78AD7ED3" w:rsidR="009C46E1" w:rsidRPr="00CC3100" w:rsidRDefault="009C46E1">
            <w:pPr>
              <w:pStyle w:val="Stopka"/>
              <w:jc w:val="right"/>
              <w:rPr>
                <w:sz w:val="18"/>
                <w:szCs w:val="18"/>
              </w:rPr>
            </w:pPr>
            <w:r w:rsidRPr="00CC3100">
              <w:rPr>
                <w:sz w:val="18"/>
                <w:szCs w:val="18"/>
              </w:rPr>
              <w:t xml:space="preserve">Strona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PAGE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  <w:r w:rsidRPr="00CC3100">
              <w:rPr>
                <w:sz w:val="18"/>
                <w:szCs w:val="18"/>
              </w:rPr>
              <w:t xml:space="preserve"> z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NUMPAGES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545C049" w14:textId="77777777" w:rsidR="009C46E1" w:rsidRDefault="009C4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0C85">
        <w:rPr>
          <w:rStyle w:val="Odwoanieprzypisudolnego"/>
          <w:sz w:val="18"/>
          <w:szCs w:val="18"/>
          <w:vertAlign w:val="baseline"/>
        </w:rPr>
        <w:t>SzOP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462A" w14:textId="1876EBFC" w:rsidR="00CC6375" w:rsidRDefault="00CC6375" w:rsidP="00CC6375">
    <w:pPr>
      <w:pStyle w:val="Nagwek"/>
      <w:ind w:left="141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830F0" w14:textId="11EDF1F2" w:rsidR="00A40B40" w:rsidRDefault="00A40B40">
    <w:pPr>
      <w:pStyle w:val="Nagwek"/>
    </w:pPr>
    <w:r>
      <w:rPr>
        <w:noProof/>
      </w:rPr>
      <w:drawing>
        <wp:inline distT="0" distB="0" distL="0" distR="0" wp14:anchorId="70678FC7" wp14:editId="5003AE57">
          <wp:extent cx="7315200" cy="566420"/>
          <wp:effectExtent l="0" t="0" r="0" b="5080"/>
          <wp:docPr id="78453185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22E76"/>
    <w:multiLevelType w:val="hybridMultilevel"/>
    <w:tmpl w:val="2EC827BE"/>
    <w:lvl w:ilvl="0" w:tplc="875E91B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32344"/>
    <w:multiLevelType w:val="hybridMultilevel"/>
    <w:tmpl w:val="7CF08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00513">
    <w:abstractNumId w:val="2"/>
  </w:num>
  <w:num w:numId="2" w16cid:durableId="1396926359">
    <w:abstractNumId w:val="4"/>
  </w:num>
  <w:num w:numId="3" w16cid:durableId="370150065">
    <w:abstractNumId w:val="3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5"/>
  </w:num>
  <w:num w:numId="7" w16cid:durableId="121195087">
    <w:abstractNumId w:val="6"/>
  </w:num>
  <w:num w:numId="8" w16cid:durableId="8562392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02362"/>
    <w:rsid w:val="0002692D"/>
    <w:rsid w:val="000B21AB"/>
    <w:rsid w:val="001134DF"/>
    <w:rsid w:val="0019186F"/>
    <w:rsid w:val="001A6E20"/>
    <w:rsid w:val="001A7A86"/>
    <w:rsid w:val="00211C98"/>
    <w:rsid w:val="00236A94"/>
    <w:rsid w:val="00270A43"/>
    <w:rsid w:val="00276EC5"/>
    <w:rsid w:val="002938C3"/>
    <w:rsid w:val="002C6507"/>
    <w:rsid w:val="003142FF"/>
    <w:rsid w:val="00327FF3"/>
    <w:rsid w:val="00341097"/>
    <w:rsid w:val="00356FB8"/>
    <w:rsid w:val="003D6680"/>
    <w:rsid w:val="003F7A77"/>
    <w:rsid w:val="004109C7"/>
    <w:rsid w:val="00496497"/>
    <w:rsid w:val="00647BA7"/>
    <w:rsid w:val="00650E38"/>
    <w:rsid w:val="006628CE"/>
    <w:rsid w:val="00671654"/>
    <w:rsid w:val="006F026F"/>
    <w:rsid w:val="006F0590"/>
    <w:rsid w:val="00766004"/>
    <w:rsid w:val="007C7FBC"/>
    <w:rsid w:val="008234E2"/>
    <w:rsid w:val="00897F70"/>
    <w:rsid w:val="00910C85"/>
    <w:rsid w:val="009157E7"/>
    <w:rsid w:val="009B434F"/>
    <w:rsid w:val="009C46E1"/>
    <w:rsid w:val="009E51E7"/>
    <w:rsid w:val="00A23AF9"/>
    <w:rsid w:val="00A316AD"/>
    <w:rsid w:val="00A40B40"/>
    <w:rsid w:val="00A45432"/>
    <w:rsid w:val="00A67A42"/>
    <w:rsid w:val="00AD29C8"/>
    <w:rsid w:val="00B25819"/>
    <w:rsid w:val="00B35568"/>
    <w:rsid w:val="00BC6299"/>
    <w:rsid w:val="00BE2963"/>
    <w:rsid w:val="00C07169"/>
    <w:rsid w:val="00C45F46"/>
    <w:rsid w:val="00CA1EB5"/>
    <w:rsid w:val="00CC3100"/>
    <w:rsid w:val="00CC6375"/>
    <w:rsid w:val="00D05B30"/>
    <w:rsid w:val="00D67261"/>
    <w:rsid w:val="00DC59CE"/>
    <w:rsid w:val="00E04130"/>
    <w:rsid w:val="00E31715"/>
    <w:rsid w:val="00E66711"/>
    <w:rsid w:val="00EB3AC4"/>
    <w:rsid w:val="00F141C5"/>
    <w:rsid w:val="00F1756B"/>
    <w:rsid w:val="00F97E04"/>
    <w:rsid w:val="00FB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6E1"/>
  </w:style>
  <w:style w:type="paragraph" w:styleId="Stopka">
    <w:name w:val="footer"/>
    <w:basedOn w:val="Normalny"/>
    <w:link w:val="Stopka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2518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Gajda-Cieślicka, Joanna</cp:lastModifiedBy>
  <cp:revision>39</cp:revision>
  <dcterms:created xsi:type="dcterms:W3CDTF">2024-06-10T08:10:00Z</dcterms:created>
  <dcterms:modified xsi:type="dcterms:W3CDTF">2024-09-09T10:34:00Z</dcterms:modified>
</cp:coreProperties>
</file>