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B7EF5" w14:textId="77777777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15837A4A" w14:textId="7785B525" w:rsidR="004156CA" w:rsidRPr="004156CA" w:rsidRDefault="00DC59CE" w:rsidP="004156CA">
      <w:pPr>
        <w:jc w:val="center"/>
        <w:rPr>
          <w:b/>
          <w:bCs/>
        </w:rPr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>DLA DZIAŁANIA</w:t>
      </w:r>
      <w:r w:rsidR="004156CA">
        <w:rPr>
          <w:b/>
          <w:bCs/>
        </w:rPr>
        <w:t xml:space="preserve"> </w:t>
      </w:r>
      <w:r w:rsidR="004156CA" w:rsidRPr="004156CA">
        <w:rPr>
          <w:b/>
          <w:bCs/>
        </w:rPr>
        <w:t>6.3 Wzmacnianie lokalnych potencjałów na obszarach innych niż obszary miejskie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E191BDE" w14:textId="6F1C0889" w:rsidR="00DC59CE" w:rsidRDefault="00A61BBF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r w:rsidR="00DC59CE" w:rsidRPr="00DC59CE">
              <w:rPr>
                <w:b/>
                <w:bCs/>
              </w:rPr>
              <w:t xml:space="preserve">Fundusze Europejskie dla </w:t>
            </w:r>
            <w:r>
              <w:rPr>
                <w:b/>
                <w:bCs/>
              </w:rPr>
              <w:t>wspólnot lokalnych</w:t>
            </w:r>
          </w:p>
          <w:p w14:paraId="1FE805B1" w14:textId="5CEEBB22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220830F3" w14:textId="16E1E9F7" w:rsidR="00DC59CE" w:rsidRDefault="00A61BBF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  <w:r w:rsidR="000778CA">
              <w:rPr>
                <w:b/>
                <w:bCs/>
              </w:rPr>
              <w:t>3 Wzmacnianie lokalnych potencjałów na obszarach innych niż obszary miejskie</w:t>
            </w:r>
          </w:p>
          <w:p w14:paraId="574B95AE" w14:textId="59384D20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0778CA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05014D2F" w14:textId="77777777" w:rsidR="000778CA" w:rsidRPr="00A02EF9" w:rsidRDefault="000778CA" w:rsidP="000778CA">
            <w:pPr>
              <w:pStyle w:val="Akapitzlist"/>
              <w:numPr>
                <w:ilvl w:val="0"/>
                <w:numId w:val="12"/>
              </w:numPr>
              <w:ind w:left="325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A02EF9">
              <w:rPr>
                <w:rFonts w:cstheme="minorHAnsi"/>
                <w:b/>
                <w:bCs/>
                <w:sz w:val="18"/>
                <w:szCs w:val="18"/>
              </w:rPr>
              <w:t>W obszarze zrównoważonej turystyki:</w:t>
            </w:r>
          </w:p>
          <w:p w14:paraId="1DFAC8F0" w14:textId="77777777" w:rsidR="000778CA" w:rsidRPr="00A02EF9" w:rsidRDefault="000778CA" w:rsidP="000778CA">
            <w:pPr>
              <w:pStyle w:val="Akapitzlist"/>
              <w:numPr>
                <w:ilvl w:val="0"/>
                <w:numId w:val="13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Wsparcie centrów/punktów informacji kulturalnej i turystycznej;</w:t>
            </w:r>
          </w:p>
          <w:p w14:paraId="38FB4FE4" w14:textId="77777777" w:rsidR="000778CA" w:rsidRPr="00A02EF9" w:rsidRDefault="000778CA" w:rsidP="000778CA">
            <w:pPr>
              <w:pStyle w:val="Akapitzlist"/>
              <w:numPr>
                <w:ilvl w:val="0"/>
                <w:numId w:val="13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 xml:space="preserve">Działania w zakresie rozwiązań cyfrowych stanowiących innowacyjne rozwiązania służące poprawie zarządzania turystyką i oferty turystycznej; </w:t>
            </w:r>
          </w:p>
          <w:p w14:paraId="1C34BA38" w14:textId="77777777" w:rsidR="000778CA" w:rsidRPr="00A02EF9" w:rsidRDefault="000778CA" w:rsidP="000778CA">
            <w:pPr>
              <w:pStyle w:val="Akapitzlist"/>
              <w:numPr>
                <w:ilvl w:val="0"/>
                <w:numId w:val="13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Budowa, tworzenie, rozwój tras i szlaków turystycznych (w tym w postaci ścieżek rowerowych i szlaków pieszych) odwołujących się do walorów historycznych, kulturowych, przyrodniczych i edukacyjnych;</w:t>
            </w:r>
          </w:p>
          <w:p w14:paraId="2DD8A866" w14:textId="77777777" w:rsidR="000778CA" w:rsidRPr="00A02EF9" w:rsidRDefault="000778CA" w:rsidP="000778CA">
            <w:pPr>
              <w:pStyle w:val="Akapitzlist"/>
              <w:numPr>
                <w:ilvl w:val="0"/>
                <w:numId w:val="13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Budowa, rozbudowa i modernizacja infrastruktury poprawiającej dostępność obiektów i atrakcji turystycznych;</w:t>
            </w:r>
          </w:p>
          <w:p w14:paraId="6BC1116A" w14:textId="77777777" w:rsidR="000778CA" w:rsidRPr="00A02EF9" w:rsidRDefault="000778CA" w:rsidP="000778CA">
            <w:pPr>
              <w:pStyle w:val="Akapitzlist"/>
              <w:numPr>
                <w:ilvl w:val="0"/>
                <w:numId w:val="13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Promocja walorów środowiskowych i turystycznych regionu oraz produktów regionalnych (w tym stworzenie infrastruktury umożliwiającej promocję produktów regionalnych, opracowanie wspólnej marki turystycznej/produktu turystycznego, organizacja wydarzeń promujących walory turystyczne);</w:t>
            </w:r>
          </w:p>
          <w:p w14:paraId="68C610D5" w14:textId="77777777" w:rsidR="000778CA" w:rsidRPr="00A02EF9" w:rsidRDefault="000778CA" w:rsidP="000778CA">
            <w:pPr>
              <w:pStyle w:val="Akapitzlist"/>
              <w:numPr>
                <w:ilvl w:val="0"/>
                <w:numId w:val="12"/>
              </w:numPr>
              <w:ind w:left="325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A02EF9">
              <w:rPr>
                <w:rFonts w:cstheme="minorHAnsi"/>
                <w:b/>
                <w:bCs/>
                <w:sz w:val="18"/>
                <w:szCs w:val="18"/>
              </w:rPr>
              <w:t>W obszarze kultury i dziedzictwa kulturowego:</w:t>
            </w:r>
          </w:p>
          <w:p w14:paraId="1180A901" w14:textId="2EEDC21C" w:rsidR="000778CA" w:rsidRPr="00A02EF9" w:rsidRDefault="000778CA" w:rsidP="000778CA">
            <w:pPr>
              <w:pStyle w:val="Akapitzlist"/>
              <w:numPr>
                <w:ilvl w:val="0"/>
                <w:numId w:val="7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Działania na rzecz ochrony zabytków (roboty budowlane i modernizacyjne dot. zabytków i zespołów zabytkowych) oraz miejsc pamięci i pomników wraz</w:t>
            </w:r>
            <w:r w:rsidR="00A02EF9">
              <w:rPr>
                <w:rFonts w:cstheme="minorHAnsi"/>
                <w:sz w:val="18"/>
                <w:szCs w:val="18"/>
              </w:rPr>
              <w:t xml:space="preserve"> </w:t>
            </w:r>
            <w:r w:rsidRPr="00A02EF9">
              <w:rPr>
                <w:rFonts w:cstheme="minorHAnsi"/>
                <w:sz w:val="18"/>
                <w:szCs w:val="18"/>
              </w:rPr>
              <w:t>z otoczeniem (m.in. mała architektura, ścieżki piesze, tereny zielone) oraz rozwoju ich potencjału turystycznego;</w:t>
            </w:r>
          </w:p>
          <w:p w14:paraId="0FE034E0" w14:textId="77777777" w:rsidR="000778CA" w:rsidRPr="00A02EF9" w:rsidRDefault="000778CA" w:rsidP="000778CA">
            <w:pPr>
              <w:pStyle w:val="Akapitzlist"/>
              <w:numPr>
                <w:ilvl w:val="0"/>
                <w:numId w:val="7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Działania na rzecz rozwoju i zwiększania dostępu mieszkańców do obiektów infrastruktury kultury, w tym:</w:t>
            </w:r>
          </w:p>
          <w:p w14:paraId="275940FB" w14:textId="77777777" w:rsidR="000778CA" w:rsidRPr="00A02EF9" w:rsidRDefault="000778CA" w:rsidP="000778CA">
            <w:pPr>
              <w:pStyle w:val="Akapitzlist"/>
              <w:numPr>
                <w:ilvl w:val="2"/>
                <w:numId w:val="7"/>
              </w:numPr>
              <w:ind w:left="1176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 xml:space="preserve">roboty budowlane i modernizacyjne dotyczące obiektów infrastruktury kultury, </w:t>
            </w:r>
          </w:p>
          <w:p w14:paraId="261E9B3A" w14:textId="77777777" w:rsidR="000778CA" w:rsidRPr="00A02EF9" w:rsidRDefault="000778CA" w:rsidP="000778CA">
            <w:pPr>
              <w:pStyle w:val="Akapitzlist"/>
              <w:numPr>
                <w:ilvl w:val="2"/>
                <w:numId w:val="7"/>
              </w:numPr>
              <w:ind w:left="1176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digitalizacja zasobów i oferty kultury (w tym tworzenie multimedialnych centrów kultury on-line),</w:t>
            </w:r>
          </w:p>
          <w:p w14:paraId="7F35C2D4" w14:textId="77777777" w:rsidR="000778CA" w:rsidRPr="00A02EF9" w:rsidRDefault="000778CA" w:rsidP="000778CA">
            <w:pPr>
              <w:pStyle w:val="Akapitzlist"/>
              <w:numPr>
                <w:ilvl w:val="2"/>
                <w:numId w:val="7"/>
              </w:numPr>
              <w:ind w:left="1176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ochrona dziedzictwa niematerialnego;</w:t>
            </w:r>
          </w:p>
          <w:p w14:paraId="4C803926" w14:textId="77777777" w:rsidR="000778CA" w:rsidRPr="00A02EF9" w:rsidRDefault="000778CA" w:rsidP="000778CA">
            <w:pPr>
              <w:pStyle w:val="Akapitzlist"/>
              <w:numPr>
                <w:ilvl w:val="0"/>
                <w:numId w:val="7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Promocja kultury i dziedzictwa kulturowego, w tym organizacja wydarzeń kulturalnych;</w:t>
            </w:r>
          </w:p>
          <w:p w14:paraId="6E1D43A3" w14:textId="77777777" w:rsidR="000778CA" w:rsidRPr="00A02EF9" w:rsidRDefault="000778CA" w:rsidP="000778CA">
            <w:pPr>
              <w:pStyle w:val="Akapitzlist"/>
              <w:numPr>
                <w:ilvl w:val="0"/>
                <w:numId w:val="12"/>
              </w:numPr>
              <w:ind w:left="325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A02EF9">
              <w:rPr>
                <w:rFonts w:cstheme="minorHAnsi"/>
                <w:b/>
                <w:bCs/>
                <w:sz w:val="18"/>
                <w:szCs w:val="18"/>
              </w:rPr>
              <w:t>W obszarze dziedzictwa naturalnego i ekoturystyki (na obszarach innych niż obszary Natura 2000):</w:t>
            </w:r>
          </w:p>
          <w:p w14:paraId="73B8C670" w14:textId="77777777" w:rsidR="000778CA" w:rsidRPr="00A02EF9" w:rsidRDefault="000778CA" w:rsidP="000778CA">
            <w:pPr>
              <w:pStyle w:val="Akapitzlist"/>
              <w:numPr>
                <w:ilvl w:val="0"/>
                <w:numId w:val="11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Ochrona różnorodności biologicznej w oparciu o gatunki rodzime oraz różnorodności geologicznej;</w:t>
            </w:r>
          </w:p>
          <w:p w14:paraId="12A1AB34" w14:textId="77777777" w:rsidR="000778CA" w:rsidRPr="00A02EF9" w:rsidRDefault="000778CA" w:rsidP="000778CA">
            <w:pPr>
              <w:pStyle w:val="Akapitzlist"/>
              <w:numPr>
                <w:ilvl w:val="0"/>
                <w:numId w:val="11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Budowa, rozbudowa, modernizacja i doposażenie ośrodków prowadzących działalność w zakresie edukacji ekologicznej;</w:t>
            </w:r>
          </w:p>
          <w:p w14:paraId="5F31AEC0" w14:textId="77777777" w:rsidR="000778CA" w:rsidRPr="00A02EF9" w:rsidRDefault="000778CA" w:rsidP="000778CA">
            <w:pPr>
              <w:pStyle w:val="Akapitzlist"/>
              <w:numPr>
                <w:ilvl w:val="0"/>
                <w:numId w:val="11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Inwestycje mające na celu ograniczenie negatywnego oddziaływania turystyki na obszary cenne przyrodniczo;</w:t>
            </w:r>
          </w:p>
          <w:p w14:paraId="1009D2D2" w14:textId="77777777" w:rsidR="000778CA" w:rsidRPr="00A02EF9" w:rsidRDefault="000778CA" w:rsidP="000778CA">
            <w:pPr>
              <w:pStyle w:val="Akapitzlist"/>
              <w:numPr>
                <w:ilvl w:val="0"/>
                <w:numId w:val="11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Inwestycje służące edukacji i promowaniu form ochrony przyrody i rozwojowi ekoturystyki;</w:t>
            </w:r>
          </w:p>
          <w:p w14:paraId="63E9784F" w14:textId="77777777" w:rsidR="000778CA" w:rsidRPr="00A02EF9" w:rsidRDefault="000778CA" w:rsidP="000778CA">
            <w:pPr>
              <w:pStyle w:val="Akapitzlist"/>
              <w:numPr>
                <w:ilvl w:val="0"/>
                <w:numId w:val="12"/>
              </w:numPr>
              <w:ind w:left="325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A02EF9">
              <w:rPr>
                <w:rFonts w:cstheme="minorHAnsi"/>
                <w:b/>
                <w:bCs/>
                <w:sz w:val="18"/>
                <w:szCs w:val="18"/>
              </w:rPr>
              <w:t>W obszarze przedsięwzięć inwestycyjnych mających na celu poprawę sytuacji gospodarczej danego obszaru:</w:t>
            </w:r>
          </w:p>
          <w:p w14:paraId="0EB96D7B" w14:textId="25778DBE" w:rsidR="000778CA" w:rsidRPr="00A02EF9" w:rsidRDefault="000778CA" w:rsidP="000778CA">
            <w:pPr>
              <w:pStyle w:val="Akapitzlist"/>
              <w:numPr>
                <w:ilvl w:val="0"/>
                <w:numId w:val="14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Uzbrojenie trenów inwestycyjnych</w:t>
            </w:r>
            <w:r w:rsidR="00CE0842">
              <w:rPr>
                <w:rFonts w:cstheme="minorHAnsi"/>
                <w:sz w:val="18"/>
                <w:szCs w:val="18"/>
              </w:rPr>
              <w:t>;</w:t>
            </w:r>
          </w:p>
          <w:p w14:paraId="77AE1EDC" w14:textId="0E7ECF2E" w:rsidR="000778CA" w:rsidRPr="00A02EF9" w:rsidRDefault="000778CA" w:rsidP="00A02EF9">
            <w:pPr>
              <w:pStyle w:val="Akapitzlist"/>
              <w:numPr>
                <w:ilvl w:val="0"/>
                <w:numId w:val="14"/>
              </w:numPr>
              <w:ind w:left="751"/>
              <w:jc w:val="both"/>
              <w:rPr>
                <w:rFonts w:cstheme="minorHAnsi"/>
                <w:sz w:val="18"/>
                <w:szCs w:val="18"/>
              </w:rPr>
            </w:pPr>
            <w:r w:rsidRPr="00A02EF9">
              <w:rPr>
                <w:rFonts w:cstheme="minorHAnsi"/>
                <w:sz w:val="18"/>
                <w:szCs w:val="18"/>
              </w:rPr>
              <w:t>Budowa inkubatorów przedsiębiorczości oraz centrów rozwoju/logistycznych jako działania mające na celu poprawę warunków dla rozwoju przedsiębiorczości.</w:t>
            </w:r>
          </w:p>
        </w:tc>
      </w:tr>
      <w:tr w:rsidR="000778CA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4D750CDF" w:rsidR="000778CA" w:rsidRDefault="000778CA" w:rsidP="000778CA">
            <w:pPr>
              <w:rPr>
                <w:b/>
                <w:bCs/>
              </w:rPr>
            </w:pPr>
            <w:r>
              <w:rPr>
                <w:b/>
                <w:bCs/>
              </w:rPr>
              <w:t>Niek</w:t>
            </w:r>
            <w:r w:rsidRPr="00DC59CE">
              <w:rPr>
                <w:b/>
                <w:bCs/>
              </w:rPr>
              <w:t>onkurencyjny</w:t>
            </w:r>
          </w:p>
          <w:p w14:paraId="795DEAB6" w14:textId="0BBE55A8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0D552288" w14:textId="77777777" w:rsidTr="00DC59CE">
        <w:tc>
          <w:tcPr>
            <w:tcW w:w="3539" w:type="dxa"/>
          </w:tcPr>
          <w:p w14:paraId="27B1B994" w14:textId="3DC87117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lastRenderedPageBreak/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0778CA" w:rsidRDefault="000778CA" w:rsidP="000778CA">
            <w:pPr>
              <w:rPr>
                <w:b/>
                <w:bCs/>
              </w:rPr>
            </w:pPr>
          </w:p>
          <w:p w14:paraId="682923F3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258C5DD8" w14:textId="77777777" w:rsidTr="00CC6E73">
        <w:trPr>
          <w:trHeight w:val="405"/>
        </w:trPr>
        <w:tc>
          <w:tcPr>
            <w:tcW w:w="3539" w:type="dxa"/>
            <w:shd w:val="clear" w:color="auto" w:fill="E7E6E6" w:themeFill="background2"/>
          </w:tcPr>
          <w:p w14:paraId="161A7B8C" w14:textId="4DA75F1D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0778CA" w:rsidRDefault="000778CA" w:rsidP="000778CA">
            <w:pPr>
              <w:rPr>
                <w:b/>
                <w:bCs/>
              </w:rPr>
            </w:pPr>
          </w:p>
          <w:p w14:paraId="4C6A11E8" w14:textId="77777777" w:rsidR="000778CA" w:rsidRDefault="000778CA" w:rsidP="000778CA">
            <w:pPr>
              <w:rPr>
                <w:b/>
                <w:bCs/>
              </w:rPr>
            </w:pPr>
          </w:p>
          <w:p w14:paraId="11026FEC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6902036D" w14:textId="77777777" w:rsidTr="00DC59CE">
        <w:trPr>
          <w:trHeight w:val="405"/>
        </w:trPr>
        <w:tc>
          <w:tcPr>
            <w:tcW w:w="3539" w:type="dxa"/>
            <w:shd w:val="clear" w:color="auto" w:fill="E7E6E6" w:themeFill="background2"/>
          </w:tcPr>
          <w:p w14:paraId="0EED8EF7" w14:textId="12647647" w:rsidR="000778CA" w:rsidRPr="00DC59CE" w:rsidRDefault="000778CA" w:rsidP="000778CA">
            <w:pPr>
              <w:rPr>
                <w:b/>
                <w:bCs/>
              </w:rPr>
            </w:pPr>
            <w:r w:rsidRPr="00A02EF9">
              <w:rPr>
                <w:b/>
                <w:bCs/>
              </w:rPr>
              <w:t>Tytuł projektu zintegrowanego w ramach strategii IIT:</w:t>
            </w:r>
          </w:p>
        </w:tc>
        <w:tc>
          <w:tcPr>
            <w:tcW w:w="10455" w:type="dxa"/>
            <w:shd w:val="clear" w:color="auto" w:fill="E7E6E6" w:themeFill="background2"/>
          </w:tcPr>
          <w:p w14:paraId="4A9248DC" w14:textId="77777777" w:rsidR="000778CA" w:rsidRDefault="000778CA" w:rsidP="000778CA">
            <w:pPr>
              <w:rPr>
                <w:b/>
                <w:bCs/>
              </w:rPr>
            </w:pPr>
          </w:p>
        </w:tc>
      </w:tr>
      <w:tr w:rsidR="000778CA" w14:paraId="4860BF6B" w14:textId="77777777" w:rsidTr="00DC59CE">
        <w:tc>
          <w:tcPr>
            <w:tcW w:w="3539" w:type="dxa"/>
          </w:tcPr>
          <w:p w14:paraId="14F8E849" w14:textId="28F8BA9F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0778CA" w:rsidRDefault="000778CA" w:rsidP="000778CA">
            <w:pPr>
              <w:rPr>
                <w:b/>
                <w:bCs/>
              </w:rPr>
            </w:pPr>
          </w:p>
          <w:p w14:paraId="2BF3F091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0778CA" w:rsidRDefault="000778CA" w:rsidP="000778CA">
            <w:pPr>
              <w:rPr>
                <w:b/>
                <w:bCs/>
              </w:rPr>
            </w:pPr>
          </w:p>
          <w:p w14:paraId="02AC2BF4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08993A87" w14:textId="77777777" w:rsidTr="00DC59CE">
        <w:tc>
          <w:tcPr>
            <w:tcW w:w="3539" w:type="dxa"/>
          </w:tcPr>
          <w:p w14:paraId="00CB1D43" w14:textId="78E3C998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0778CA" w:rsidRDefault="000778CA" w:rsidP="000778CA">
            <w:pPr>
              <w:rPr>
                <w:b/>
                <w:bCs/>
              </w:rPr>
            </w:pPr>
          </w:p>
          <w:p w14:paraId="1CF95EF5" w14:textId="77777777" w:rsidR="000778CA" w:rsidRPr="00DC59CE" w:rsidRDefault="000778CA" w:rsidP="000778CA">
            <w:pPr>
              <w:rPr>
                <w:b/>
                <w:bCs/>
              </w:rPr>
            </w:pPr>
          </w:p>
        </w:tc>
      </w:tr>
      <w:tr w:rsidR="000778CA" w14:paraId="0F90B62F" w14:textId="77777777" w:rsidTr="00DC59CE">
        <w:tc>
          <w:tcPr>
            <w:tcW w:w="3539" w:type="dxa"/>
          </w:tcPr>
          <w:p w14:paraId="59604F59" w14:textId="5054E60D" w:rsidR="000778CA" w:rsidRPr="00DC59CE" w:rsidRDefault="000778CA" w:rsidP="000778CA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0778CA" w:rsidRDefault="000778CA" w:rsidP="000778CA">
            <w:pPr>
              <w:rPr>
                <w:b/>
                <w:bCs/>
                <w:color w:val="FF0000"/>
              </w:rPr>
            </w:pPr>
          </w:p>
          <w:p w14:paraId="5ED0E93D" w14:textId="77777777" w:rsidR="000778CA" w:rsidRPr="00DC59CE" w:rsidRDefault="000778CA" w:rsidP="000778CA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2411"/>
        <w:gridCol w:w="4767"/>
        <w:gridCol w:w="1389"/>
        <w:gridCol w:w="893"/>
        <w:gridCol w:w="895"/>
        <w:gridCol w:w="1020"/>
        <w:gridCol w:w="1836"/>
      </w:tblGrid>
      <w:tr w:rsidR="00A67A42" w:rsidRPr="00DC59CE" w14:paraId="0FE232DF" w14:textId="77777777" w:rsidTr="00FB5D3C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767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389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FB5D3C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767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389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FB5D3C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lastRenderedPageBreak/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767" w:type="dxa"/>
          </w:tcPr>
          <w:p w14:paraId="06392A30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5A142424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- wszystkie wymagane regulaminem wyboru projektów załączniki zostały złożone (jeśli dotyczy)</w:t>
            </w:r>
            <w:r>
              <w:rPr>
                <w:sz w:val="20"/>
                <w:szCs w:val="20"/>
              </w:rPr>
              <w:t>,</w:t>
            </w:r>
          </w:p>
          <w:p w14:paraId="51BB5577" w14:textId="77777777" w:rsidR="00910C85" w:rsidRPr="001352C1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5554BF70" w14:textId="1ACA8EA6" w:rsidR="00910C85" w:rsidRDefault="00910C85" w:rsidP="00910C85"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EB4243C" w14:textId="44570787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FB5D3C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767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>, SzOP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1E6FE276" w14:textId="5BDEFF15" w:rsidR="00910C85" w:rsidRDefault="00910C85" w:rsidP="00910C85"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</w:r>
            <w:r w:rsidRPr="002A4827">
              <w:rPr>
                <w:sz w:val="20"/>
                <w:szCs w:val="20"/>
              </w:rPr>
              <w:lastRenderedPageBreak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389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FB5D3C" w14:paraId="338D3262" w14:textId="77777777" w:rsidTr="00FB5D3C">
        <w:tc>
          <w:tcPr>
            <w:tcW w:w="783" w:type="dxa"/>
          </w:tcPr>
          <w:p w14:paraId="365B4D47" w14:textId="0B98B81A" w:rsidR="00FB5D3C" w:rsidRDefault="00FB5D3C" w:rsidP="00FB5D3C">
            <w:r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FB5D3C" w:rsidRPr="009B434F" w:rsidRDefault="00FB5D3C" w:rsidP="00FB5D3C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767" w:type="dxa"/>
          </w:tcPr>
          <w:p w14:paraId="74BEB94F" w14:textId="4AF60986" w:rsidR="00FB5D3C" w:rsidRDefault="00FB5D3C" w:rsidP="00FB5D3C">
            <w:r w:rsidRPr="001352C1">
              <w:rPr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389" w:type="dxa"/>
            <w:shd w:val="clear" w:color="auto" w:fill="E7E6E6" w:themeFill="background2"/>
          </w:tcPr>
          <w:p w14:paraId="53D8077B" w14:textId="1251ACBF" w:rsidR="00FB5D3C" w:rsidRDefault="00FB5D3C" w:rsidP="00FB5D3C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21A3D639" w14:textId="2199E5CA" w:rsidR="00FB5D3C" w:rsidRDefault="00C07AB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FB5D3C" w:rsidRDefault="00C07AB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4FA5DFC8" w:rsidR="00FB5D3C" w:rsidRDefault="00C07AB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0663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FB5D3C" w:rsidRDefault="00FB5D3C" w:rsidP="00FB5D3C"/>
        </w:tc>
      </w:tr>
      <w:tr w:rsidR="00A67A42" w14:paraId="38AE0B33" w14:textId="77777777" w:rsidTr="00FB5D3C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Projekt nie dotyczy działalności </w:t>
            </w:r>
            <w:r w:rsidRPr="00624A65">
              <w:rPr>
                <w:b/>
                <w:bCs/>
              </w:rPr>
              <w:lastRenderedPageBreak/>
              <w:t>gospodarczej/inwestycji wykluczonych ze wsparcia</w:t>
            </w:r>
          </w:p>
        </w:tc>
        <w:tc>
          <w:tcPr>
            <w:tcW w:w="4767" w:type="dxa"/>
          </w:tcPr>
          <w:p w14:paraId="71DB32A1" w14:textId="2A0E5C39" w:rsidR="00910C85" w:rsidRDefault="00A67A42" w:rsidP="00910C85">
            <w:r w:rsidRPr="001352C1">
              <w:rPr>
                <w:sz w:val="20"/>
                <w:szCs w:val="20"/>
              </w:rPr>
              <w:lastRenderedPageBreak/>
              <w:t xml:space="preserve">W ramach kryterium ocenie podlegać będzie, czy projekt nie dotyczy działalności gospodarczej/inwestycji </w:t>
            </w:r>
            <w:r w:rsidRPr="001352C1">
              <w:rPr>
                <w:sz w:val="20"/>
                <w:szCs w:val="20"/>
              </w:rPr>
              <w:lastRenderedPageBreak/>
              <w:t>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389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7CDEEE4B" w14:textId="171F02C6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FB5D3C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767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441C40FF" w14:textId="77777777" w:rsidR="00C07AB5" w:rsidRPr="00C07AB5" w:rsidRDefault="00A67A42" w:rsidP="00C07AB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6A335BEE" w14:textId="2486028A" w:rsidR="00910C85" w:rsidRDefault="00A67A42" w:rsidP="00C07AB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5834C96" w14:textId="4E33DF08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FB5D3C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767" w:type="dxa"/>
          </w:tcPr>
          <w:p w14:paraId="7C8D19DC" w14:textId="27926679" w:rsidR="00910C85" w:rsidRDefault="00A67A42" w:rsidP="00910C85"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</w:t>
            </w:r>
            <w:r w:rsidRPr="001352C1">
              <w:rPr>
                <w:sz w:val="20"/>
                <w:szCs w:val="20"/>
              </w:rPr>
              <w:lastRenderedPageBreak/>
              <w:t>końcowego), dostaw lub usług. Kryterium musi być spełnione na moment składania wniosku.</w:t>
            </w:r>
          </w:p>
        </w:tc>
        <w:tc>
          <w:tcPr>
            <w:tcW w:w="1389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8965008" w14:textId="6EE5C2A7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FB5D3C">
        <w:tc>
          <w:tcPr>
            <w:tcW w:w="783" w:type="dxa"/>
          </w:tcPr>
          <w:p w14:paraId="3C6B1178" w14:textId="77A9083C" w:rsidR="00910C85" w:rsidRDefault="00910C85" w:rsidP="00910C85">
            <w:r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767" w:type="dxa"/>
          </w:tcPr>
          <w:p w14:paraId="3238FD42" w14:textId="4843E8E3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 dofinansowanie spełniają określone w FEŚ 2021 – 2027, SzOP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151607D8" w14:textId="0CF7C2F8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FB5D3C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4767" w:type="dxa"/>
          </w:tcPr>
          <w:p w14:paraId="3EAFAEE5" w14:textId="20EFD172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 typami projektów określonymi w FEŚ 2021 – 2027, SzOP dla Działania którego dotyczy nabór oraz w regulaminie wyboru projektów.</w:t>
            </w:r>
          </w:p>
        </w:tc>
        <w:tc>
          <w:tcPr>
            <w:tcW w:w="1389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FB5D3C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5921D58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4767" w:type="dxa"/>
          </w:tcPr>
          <w:p w14:paraId="4FA5541D" w14:textId="2B31125D" w:rsidR="00910C85" w:rsidRDefault="00A67A42" w:rsidP="00910C85">
            <w:r w:rsidRPr="001352C1">
              <w:rPr>
                <w:sz w:val="20"/>
                <w:szCs w:val="20"/>
              </w:rPr>
              <w:t xml:space="preserve"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</w:t>
            </w:r>
            <w:r w:rsidRPr="001352C1">
              <w:rPr>
                <w:sz w:val="20"/>
                <w:szCs w:val="20"/>
              </w:rPr>
              <w:lastRenderedPageBreak/>
              <w:t>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</w:p>
        </w:tc>
        <w:tc>
          <w:tcPr>
            <w:tcW w:w="1389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0DE7AF4" w14:textId="79784F5A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FB5D3C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235E283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4767" w:type="dxa"/>
          </w:tcPr>
          <w:p w14:paraId="76E6BFAE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D547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6FEB8FB3" w14:textId="7BC2B8AA" w:rsidR="00910C85" w:rsidRDefault="00A67A42" w:rsidP="00A67A42">
            <w:r w:rsidRPr="001352C1">
              <w:rPr>
                <w:sz w:val="20"/>
                <w:szCs w:val="20"/>
              </w:rPr>
              <w:lastRenderedPageBreak/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FB5D3C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128C5797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o których mowa w art. 9 ust. 3 Rozporządzenia </w:t>
            </w:r>
            <w:r w:rsidRPr="00624A65">
              <w:rPr>
                <w:b/>
                <w:bCs/>
              </w:rPr>
              <w:lastRenderedPageBreak/>
              <w:t>ogólnego, wsparcie w ramach polityki spójności nie może być udzielone</w:t>
            </w:r>
          </w:p>
        </w:tc>
        <w:tc>
          <w:tcPr>
            <w:tcW w:w="4767" w:type="dxa"/>
          </w:tcPr>
          <w:p w14:paraId="55E007E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</w:t>
            </w:r>
            <w:r w:rsidRPr="001352C1">
              <w:rPr>
                <w:sz w:val="20"/>
                <w:szCs w:val="20"/>
              </w:rPr>
              <w:lastRenderedPageBreak/>
              <w:t>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77777777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37FC9EF9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FB5D3C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00DC8BDF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4767" w:type="dxa"/>
          </w:tcPr>
          <w:p w14:paraId="3FFCAD00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77777777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6D0BEC41" w14:textId="35A51459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E4C6454" w14:textId="0D3DC4DB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FB5D3C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6DF75A01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4767" w:type="dxa"/>
          </w:tcPr>
          <w:p w14:paraId="2B9FE2E1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</w:t>
            </w:r>
            <w:r w:rsidRPr="001352C1">
              <w:rPr>
                <w:sz w:val="20"/>
                <w:szCs w:val="20"/>
              </w:rPr>
              <w:lastRenderedPageBreak/>
              <w:t>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77777777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48856E30" w14:textId="516F9384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70BB69CC" w14:textId="68804879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FB5D3C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767" w:type="dxa"/>
          </w:tcPr>
          <w:p w14:paraId="36D8ACCC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3961F307" w:rsidR="00910C85" w:rsidRDefault="00A67A42" w:rsidP="00A67A42">
            <w:r w:rsidRPr="00237A18">
              <w:rPr>
                <w:sz w:val="20"/>
                <w:szCs w:val="20"/>
              </w:rPr>
              <w:lastRenderedPageBreak/>
              <w:br w:type="page"/>
              <w:t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</w:p>
        </w:tc>
        <w:tc>
          <w:tcPr>
            <w:tcW w:w="1389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C07AB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60BDC6A6" w14:textId="77777777" w:rsidR="00327FF3" w:rsidRDefault="00327FF3">
            <w:pPr>
              <w:rPr>
                <w:b/>
                <w:bCs/>
              </w:rPr>
            </w:pPr>
          </w:p>
          <w:p w14:paraId="41EAA1A6" w14:textId="77777777" w:rsidR="00BE2963" w:rsidRDefault="00BE2963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C07AB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C07AB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C07AB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C07AB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sectPr w:rsidR="00327FF3" w:rsidSect="00DB4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BC09" w14:textId="77777777" w:rsidR="00A140B6" w:rsidRDefault="00A140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7568D" w14:textId="77777777" w:rsidR="00A140B6" w:rsidRDefault="00A140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B2024" w14:textId="77777777" w:rsidR="00A140B6" w:rsidRDefault="00A14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0C85">
        <w:rPr>
          <w:rStyle w:val="Odwoanieprzypisudolnego"/>
          <w:sz w:val="18"/>
          <w:szCs w:val="18"/>
          <w:vertAlign w:val="baseline"/>
        </w:rPr>
        <w:t>SzOP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AA748" w14:textId="77777777" w:rsidR="00A140B6" w:rsidRDefault="00A14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168FE" w14:textId="0367A69A" w:rsidR="00A140B6" w:rsidRDefault="00A140B6" w:rsidP="00A140B6">
    <w:pPr>
      <w:pStyle w:val="Nagwek"/>
      <w:jc w:val="center"/>
    </w:pPr>
  </w:p>
  <w:p w14:paraId="5FFE5D29" w14:textId="77777777" w:rsidR="00A140B6" w:rsidRDefault="00A14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10B2" w14:textId="2EFB8D47" w:rsidR="00A140B6" w:rsidRDefault="00DB42C0" w:rsidP="00DB42C0">
    <w:pPr>
      <w:pStyle w:val="Nagwek"/>
      <w:jc w:val="center"/>
    </w:pPr>
    <w:r>
      <w:rPr>
        <w:noProof/>
      </w:rPr>
      <w:drawing>
        <wp:inline distT="0" distB="0" distL="0" distR="0" wp14:anchorId="4F6C338E" wp14:editId="3D95982B">
          <wp:extent cx="7315835" cy="567055"/>
          <wp:effectExtent l="0" t="0" r="0" b="4445"/>
          <wp:docPr id="2057955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0945"/>
    <w:multiLevelType w:val="multilevel"/>
    <w:tmpl w:val="D884E87A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48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1800"/>
      </w:pPr>
      <w:rPr>
        <w:rFonts w:asciiTheme="minorHAnsi" w:eastAsiaTheme="minorHAnsi" w:hAnsiTheme="minorHAnsi" w:cstheme="minorHAnsi" w:hint="default"/>
      </w:rPr>
    </w:lvl>
  </w:abstractNum>
  <w:abstractNum w:abstractNumId="2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599"/>
    <w:multiLevelType w:val="hybridMultilevel"/>
    <w:tmpl w:val="3E3CDB74"/>
    <w:lvl w:ilvl="0" w:tplc="04150015">
      <w:start w:val="1"/>
      <w:numFmt w:val="upperLetter"/>
      <w:lvlText w:val="%1."/>
      <w:lvlJc w:val="left"/>
      <w:pPr>
        <w:ind w:left="1288" w:hanging="360"/>
      </w:pPr>
      <w:rPr>
        <w:rFonts w:hint="default"/>
      </w:rPr>
    </w:lvl>
    <w:lvl w:ilvl="1" w:tplc="B2808CA0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8042B9A"/>
    <w:multiLevelType w:val="hybridMultilevel"/>
    <w:tmpl w:val="69E8750E"/>
    <w:lvl w:ilvl="0" w:tplc="FFFFFFFF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8" w:hanging="360"/>
      </w:pPr>
    </w:lvl>
    <w:lvl w:ilvl="2" w:tplc="FFFFFFFF" w:tentative="1">
      <w:start w:val="1"/>
      <w:numFmt w:val="lowerRoman"/>
      <w:lvlText w:val="%3."/>
      <w:lvlJc w:val="right"/>
      <w:pPr>
        <w:ind w:left="3088" w:hanging="180"/>
      </w:pPr>
    </w:lvl>
    <w:lvl w:ilvl="3" w:tplc="FFFFFFFF" w:tentative="1">
      <w:start w:val="1"/>
      <w:numFmt w:val="decimal"/>
      <w:lvlText w:val="%4."/>
      <w:lvlJc w:val="left"/>
      <w:pPr>
        <w:ind w:left="3808" w:hanging="360"/>
      </w:pPr>
    </w:lvl>
    <w:lvl w:ilvl="4" w:tplc="FFFFFFFF" w:tentative="1">
      <w:start w:val="1"/>
      <w:numFmt w:val="lowerLetter"/>
      <w:lvlText w:val="%5."/>
      <w:lvlJc w:val="left"/>
      <w:pPr>
        <w:ind w:left="4528" w:hanging="360"/>
      </w:pPr>
    </w:lvl>
    <w:lvl w:ilvl="5" w:tplc="FFFFFFFF" w:tentative="1">
      <w:start w:val="1"/>
      <w:numFmt w:val="lowerRoman"/>
      <w:lvlText w:val="%6."/>
      <w:lvlJc w:val="right"/>
      <w:pPr>
        <w:ind w:left="5248" w:hanging="180"/>
      </w:pPr>
    </w:lvl>
    <w:lvl w:ilvl="6" w:tplc="FFFFFFFF" w:tentative="1">
      <w:start w:val="1"/>
      <w:numFmt w:val="decimal"/>
      <w:lvlText w:val="%7."/>
      <w:lvlJc w:val="left"/>
      <w:pPr>
        <w:ind w:left="5968" w:hanging="360"/>
      </w:pPr>
    </w:lvl>
    <w:lvl w:ilvl="7" w:tplc="FFFFFFFF" w:tentative="1">
      <w:start w:val="1"/>
      <w:numFmt w:val="lowerLetter"/>
      <w:lvlText w:val="%8."/>
      <w:lvlJc w:val="left"/>
      <w:pPr>
        <w:ind w:left="6688" w:hanging="360"/>
      </w:pPr>
    </w:lvl>
    <w:lvl w:ilvl="8" w:tplc="FFFFFFFF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 w15:restartNumberingAfterBreak="0">
    <w:nsid w:val="44397F25"/>
    <w:multiLevelType w:val="multilevel"/>
    <w:tmpl w:val="D884E87A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48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1800"/>
      </w:pPr>
      <w:rPr>
        <w:rFonts w:asciiTheme="minorHAnsi" w:eastAsiaTheme="minorHAnsi" w:hAnsiTheme="minorHAnsi" w:cstheme="minorHAnsi" w:hint="default"/>
      </w:rPr>
    </w:lvl>
  </w:abstractNum>
  <w:abstractNum w:abstractNumId="7" w15:restartNumberingAfterBreak="0">
    <w:nsid w:val="4B4A0C92"/>
    <w:multiLevelType w:val="hybridMultilevel"/>
    <w:tmpl w:val="054466C8"/>
    <w:lvl w:ilvl="0" w:tplc="5E22C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3D0C20"/>
    <w:multiLevelType w:val="hybridMultilevel"/>
    <w:tmpl w:val="A1C6930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37851"/>
    <w:multiLevelType w:val="hybridMultilevel"/>
    <w:tmpl w:val="F17A9F96"/>
    <w:lvl w:ilvl="0" w:tplc="FFFFFFFF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8" w:hanging="360"/>
      </w:pPr>
    </w:lvl>
    <w:lvl w:ilvl="2" w:tplc="27A0A854">
      <w:start w:val="1"/>
      <w:numFmt w:val="bullet"/>
      <w:lvlText w:val=""/>
      <w:lvlJc w:val="left"/>
      <w:pPr>
        <w:ind w:left="326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808" w:hanging="360"/>
      </w:pPr>
    </w:lvl>
    <w:lvl w:ilvl="4" w:tplc="FFFFFFFF" w:tentative="1">
      <w:start w:val="1"/>
      <w:numFmt w:val="lowerLetter"/>
      <w:lvlText w:val="%5."/>
      <w:lvlJc w:val="left"/>
      <w:pPr>
        <w:ind w:left="4528" w:hanging="360"/>
      </w:pPr>
    </w:lvl>
    <w:lvl w:ilvl="5" w:tplc="FFFFFFFF" w:tentative="1">
      <w:start w:val="1"/>
      <w:numFmt w:val="lowerRoman"/>
      <w:lvlText w:val="%6."/>
      <w:lvlJc w:val="right"/>
      <w:pPr>
        <w:ind w:left="5248" w:hanging="180"/>
      </w:pPr>
    </w:lvl>
    <w:lvl w:ilvl="6" w:tplc="FFFFFFFF" w:tentative="1">
      <w:start w:val="1"/>
      <w:numFmt w:val="decimal"/>
      <w:lvlText w:val="%7."/>
      <w:lvlJc w:val="left"/>
      <w:pPr>
        <w:ind w:left="5968" w:hanging="360"/>
      </w:pPr>
    </w:lvl>
    <w:lvl w:ilvl="7" w:tplc="FFFFFFFF" w:tentative="1">
      <w:start w:val="1"/>
      <w:numFmt w:val="lowerLetter"/>
      <w:lvlText w:val="%8."/>
      <w:lvlJc w:val="left"/>
      <w:pPr>
        <w:ind w:left="6688" w:hanging="360"/>
      </w:pPr>
    </w:lvl>
    <w:lvl w:ilvl="8" w:tplc="FFFFFFFF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94EDB"/>
    <w:multiLevelType w:val="hybridMultilevel"/>
    <w:tmpl w:val="D5DE3C6E"/>
    <w:lvl w:ilvl="0" w:tplc="FFFFFFFF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0513">
    <w:abstractNumId w:val="3"/>
  </w:num>
  <w:num w:numId="2" w16cid:durableId="1396926359">
    <w:abstractNumId w:val="11"/>
  </w:num>
  <w:num w:numId="3" w16cid:durableId="370150065">
    <w:abstractNumId w:val="9"/>
  </w:num>
  <w:num w:numId="4" w16cid:durableId="2127117963">
    <w:abstractNumId w:val="2"/>
  </w:num>
  <w:num w:numId="5" w16cid:durableId="18968823">
    <w:abstractNumId w:val="0"/>
  </w:num>
  <w:num w:numId="6" w16cid:durableId="178734980">
    <w:abstractNumId w:val="12"/>
  </w:num>
  <w:num w:numId="7" w16cid:durableId="1234124069">
    <w:abstractNumId w:val="10"/>
  </w:num>
  <w:num w:numId="8" w16cid:durableId="110365060">
    <w:abstractNumId w:val="8"/>
  </w:num>
  <w:num w:numId="9" w16cid:durableId="2060783390">
    <w:abstractNumId w:val="7"/>
  </w:num>
  <w:num w:numId="10" w16cid:durableId="1039433045">
    <w:abstractNumId w:val="13"/>
  </w:num>
  <w:num w:numId="11" w16cid:durableId="1558206317">
    <w:abstractNumId w:val="1"/>
  </w:num>
  <w:num w:numId="12" w16cid:durableId="557479741">
    <w:abstractNumId w:val="4"/>
  </w:num>
  <w:num w:numId="13" w16cid:durableId="1694574451">
    <w:abstractNumId w:val="5"/>
  </w:num>
  <w:num w:numId="14" w16cid:durableId="261305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778CA"/>
    <w:rsid w:val="001370F1"/>
    <w:rsid w:val="0019186F"/>
    <w:rsid w:val="002339F0"/>
    <w:rsid w:val="00233BD4"/>
    <w:rsid w:val="00253AD9"/>
    <w:rsid w:val="00276EC5"/>
    <w:rsid w:val="00327FF3"/>
    <w:rsid w:val="003D6680"/>
    <w:rsid w:val="00405DB9"/>
    <w:rsid w:val="004156CA"/>
    <w:rsid w:val="004D5C28"/>
    <w:rsid w:val="00584A26"/>
    <w:rsid w:val="00671654"/>
    <w:rsid w:val="006F026F"/>
    <w:rsid w:val="00743064"/>
    <w:rsid w:val="008234E2"/>
    <w:rsid w:val="00897F70"/>
    <w:rsid w:val="00910C85"/>
    <w:rsid w:val="00984742"/>
    <w:rsid w:val="009B434F"/>
    <w:rsid w:val="00A02EF9"/>
    <w:rsid w:val="00A140B6"/>
    <w:rsid w:val="00A316AD"/>
    <w:rsid w:val="00A61BBF"/>
    <w:rsid w:val="00A67A42"/>
    <w:rsid w:val="00AA3A16"/>
    <w:rsid w:val="00B25819"/>
    <w:rsid w:val="00B35568"/>
    <w:rsid w:val="00BE2963"/>
    <w:rsid w:val="00C07169"/>
    <w:rsid w:val="00C07AB5"/>
    <w:rsid w:val="00C6569C"/>
    <w:rsid w:val="00C66FF6"/>
    <w:rsid w:val="00CB21BB"/>
    <w:rsid w:val="00CC4122"/>
    <w:rsid w:val="00CC6E73"/>
    <w:rsid w:val="00CE0842"/>
    <w:rsid w:val="00CF0766"/>
    <w:rsid w:val="00D05B30"/>
    <w:rsid w:val="00D31E07"/>
    <w:rsid w:val="00DB42C0"/>
    <w:rsid w:val="00DC59CE"/>
    <w:rsid w:val="00E22319"/>
    <w:rsid w:val="00E66711"/>
    <w:rsid w:val="00EB3AC4"/>
    <w:rsid w:val="00F1756B"/>
    <w:rsid w:val="00F248AE"/>
    <w:rsid w:val="00F27C7D"/>
    <w:rsid w:val="00F34816"/>
    <w:rsid w:val="00F97E04"/>
    <w:rsid w:val="00FB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,Wyliczanie,Kielce_wypunktowanie,A_wyliczenie,lubu 1)_wypkt.,K-P_odwolanie,Lublin_odwolanie,Sl_Akapit z listą,maz_wyliczenie,opis dzialania,Akapit z listą5"/>
    <w:basedOn w:val="Normalny"/>
    <w:link w:val="AkapitzlistZnak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B6"/>
  </w:style>
  <w:style w:type="paragraph" w:styleId="Stopka">
    <w:name w:val="footer"/>
    <w:basedOn w:val="Normalny"/>
    <w:link w:val="StopkaZnak"/>
    <w:uiPriority w:val="99"/>
    <w:unhideWhenUsed/>
    <w:rsid w:val="00A1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B6"/>
  </w:style>
  <w:style w:type="character" w:customStyle="1" w:styleId="AkapitzlistZnak">
    <w:name w:val="Akapit z listą Znak"/>
    <w:aliases w:val="BulletC Znak,Numerowanie Znak,List Paragraph Znak,Akapit z listą BS Znak,Kolorowa lista — akcent 11 Znak,Wyliczanie Znak,Kielce_wypunktowanie Znak,A_wyliczenie Znak,lubu 1)_wypkt. Znak,K-P_odwolanie Znak,Lublin_odwolanie Znak"/>
    <w:link w:val="Akapitzlist"/>
    <w:uiPriority w:val="34"/>
    <w:qFormat/>
    <w:rsid w:val="00F2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2830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Gajda-Cieślicka, Joanna</cp:lastModifiedBy>
  <cp:revision>16</cp:revision>
  <dcterms:created xsi:type="dcterms:W3CDTF">2024-06-11T09:14:00Z</dcterms:created>
  <dcterms:modified xsi:type="dcterms:W3CDTF">2024-10-09T12:12:00Z</dcterms:modified>
</cp:coreProperties>
</file>